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UAE Federal AML-CFT Law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Support AML/CFT obligations and financial crime monitoring under UAE Decree-Law 20/2018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UAE Federal AML/CFT Law (Decree-Law 20/2018) Compliance extension for Log360 helps UAE-regulated financial institutions and designated non-financial businesses meet the transaction monitoring, access audit, and reporting obligations related to anti-money laundering and counter-terrorism financing.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financial systems, customer databases, cloud platforms, and identity services, supporting compliance teams in detecting suspicious access patterns and maintaining audit trails required for CBUAE and FATF reporting. Security teams can investigate anomalies and generate documentation for financial intelligence disclosures.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compliance reports covering AML/CFT-relevant IT controls including access to financial databases, user authentication events, and transaction system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customer financial records and detect unusual data queries, exports, or modifications that may indicate financial crime enablement.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AML/CFT-relevant security events such as unauthorized access to transaction systems and privilege escalations in financial applications.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CBUAE examinations, internal AML compliance officer records, and financial intelligence unit submissions.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AML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a5396b4-9ad4-46eb-e21c-267624ecc66f" w:fontKey="{00000000-0000-0000-0000-000000000000}" w:subsetted="0"/>
  </w:font>
  <w:font w:name="Caladea Regular">
    <w:embedRegular xmlns:r="http://schemas.openxmlformats.org/officeDocument/2006/relationships" r:id="rIda00c59dd-c530-f32e-6a2e-fb50077198d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
    <w:name w:val="Body Text"/>
    <w:uiPriority w:val="1"/>
    <w:basedOn w:val="Normal"/>
    <w:next w:val="BodyText"/>
    <w:pPr>
      <w:spacing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2a5396b4-9ad4-46eb-e21c-267624ecc66f" Target="fonts/ArimoRegular.ttf" Type="http://schemas.openxmlformats.org/officeDocument/2006/relationships/font" /><Relationship Id="rIda00c59dd-c530-f32e-6a2e-fb50077198d8"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