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IEC 62443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IEC 62443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Industry Standard,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IEC 62443 compliance extension in Log360 helps organizations meet ISA/IEC 62443, the international standard for securing Industrial Automation and Control Systems (IACS), UN-endorsed as a horizontal standard since 2021 by providing centralized log management, OT network monitoring, and security event correlation. The platform supports IEC 62443 requirements for identification and authentication control, use control and least privilege, system integrity, data confidentiality, restricted data flow across zones, timely incident response, and resource availability.</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Identification and Authentication Control (FR1), Log360 monitors authentication events, failed logons, and MFA activities across Windows, Unix, network devices, and Active Directory to verify authorized access continuously. To address Use Control and Least Privilege Enforcement (FR2), the platform tracks policy changes, group and user account management, and privilege escalation across Windows, Unix, and network devices to enforce use control. The extension also supports System Integrity Protection (FR3) by providing capabilities that collects antivirus alerts, threat detection events, registry changes, and software update activities to verify control system integrity.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Confidentiality (FR4): </w:t>
      </w:r>
      <w:r w:rsidR="00000000" w:rsidDel="00000000" w:rsidRPr="00000000">
        <w:rPr>
          <w:rFonts w:ascii="Arial" w:eastAsia="Arial" w:hAnsi="Arial" w:cs="Arial"/>
          <w:sz w:val="22.0"/>
        </w:rPr>
        <w:t xml:space="preserve">Log360 monitors file access, USB storage events, registry changes, and removable disk activities to detect unauthorized data exfiltration from industrial control environments.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Restricted Data Flow and Zone Segmentation (FR5): </w:t>
      </w:r>
      <w:r w:rsidR="00000000" w:rsidDel="00000000" w:rsidRPr="00000000">
        <w:rPr>
          <w:rFonts w:ascii="Arial" w:eastAsia="Arial" w:hAnsi="Arial" w:cs="Arial"/>
          <w:sz w:val="22.0"/>
        </w:rPr>
        <w:t xml:space="preserve">Log360 monitors network device rule changes, firewall policies, and configuration changes to ensure zone boundaries are maintained and restricted data is protected.</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Timely Response to Security Events (FR6): </w:t>
      </w:r>
      <w:r w:rsidR="00000000" w:rsidDel="00000000" w:rsidRPr="00000000">
        <w:rPr>
          <w:rFonts w:ascii="Arial" w:eastAsia="Arial" w:hAnsi="Arial" w:cs="Arial"/>
          <w:sz w:val="22.0"/>
        </w:rPr>
        <w:t xml:space="preserve">Log360 aggregates system event logs, network attack alerts, process tracking, and audit logs to provide the continuous monitoring required for timely incident response in IACS environments.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Resource Availability and Continuity (FR7): </w:t>
      </w:r>
      <w:r w:rsidR="00000000" w:rsidDel="00000000" w:rsidRPr="00000000">
        <w:rPr>
          <w:rFonts w:ascii="Arial" w:eastAsia="Arial" w:hAnsi="Arial" w:cs="Arial"/>
          <w:sz w:val="22.0"/>
        </w:rPr>
        <w:t xml:space="preserve">Log360 monitors backup job results, virtualization health, system restoration events, and Windows backup activities to ensure industrial control system availability and continuity.</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IEC 62443.</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efddf6af-c6ff-3f80-2a54-43c3b921c295"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efddf6af-c6ff-3f80-2a54-43c3b921c295"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