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NCSC UK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Protect critical infrastructure and meet NCSC UK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UK</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Critical Infrastructure,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NCSC UK compliance extension in Log360 helps organizations meet the NCSC Cyber Assessment Framework (CAF 4.0), the UK National Cyber Security Centre's framework for assessing cybersecurity of essential services across 4 objectives and 14 principles used by UK regulators via GovAssure by providing centralized log management, real-time security monitoring, and automated audit reporting. The platform supports NCSC UK requirements for governance, risk management, asset management, supply chain oversight, identity and access control, data security, system protection, security monitoring, and incident response.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Risk Management, Log360 delivers centralized visibility across all log sources, enabling security teams to evidence governance controls and track risk posture through audit reporting. To address Asset and Supply Chain Management, the platform monitors software updates, registry modifications, configuration changes, and program inventory to maintain asset integrity and detect unauthorized supply chain activity. The extension also supports Identity and Access Control by providing capabilities that tracks AD logon events, Windows and Unix authentication, SUDO commands, failed logons, and user account changes to enforce access accountability.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Security: </w:t>
      </w:r>
      <w:r w:rsidR="00000000" w:rsidDel="00000000" w:rsidRPr="00000000">
        <w:rPr>
          <w:rFonts w:ascii="Arial" w:eastAsia="Arial" w:hAnsi="Arial" w:cs="Arial"/>
          <w:sz w:val="22.0"/>
        </w:rPr>
        <w:t xml:space="preserve">Log360 monitors file changes, SharePoint and OneDrive activities, S3 operations, and USB storage events to protect data assets across hybrid environments.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and Network Protection: </w:t>
      </w:r>
      <w:r w:rsidR="00000000" w:rsidDel="00000000" w:rsidRPr="00000000">
        <w:rPr>
          <w:rFonts w:ascii="Arial" w:eastAsia="Arial" w:hAnsi="Arial" w:cs="Arial"/>
          <w:sz w:val="22.0"/>
        </w:rPr>
        <w:t xml:space="preserve">Log360 tracks network device configuration changes, firewall rule updates, policy modifications, and network attack events to enforce system and network security boundaries.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Monitoring and Threat Hunting: </w:t>
      </w:r>
      <w:r w:rsidR="00000000" w:rsidDel="00000000" w:rsidRPr="00000000">
        <w:rPr>
          <w:rFonts w:ascii="Arial" w:eastAsia="Arial" w:hAnsi="Arial" w:cs="Arial"/>
          <w:sz w:val="22.0"/>
        </w:rPr>
        <w:t xml:space="preserve">Log360 aggregates antivirus, threat detection, FireEye, Trend Micro, and network attack reports to provide real-time alerting and threat intelligence.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and Recovery Planning: </w:t>
      </w:r>
      <w:r w:rsidR="00000000" w:rsidDel="00000000" w:rsidRPr="00000000">
        <w:rPr>
          <w:rFonts w:ascii="Arial" w:eastAsia="Arial" w:hAnsi="Arial" w:cs="Arial"/>
          <w:sz w:val="22.0"/>
        </w:rPr>
        <w:t xml:space="preserve">Log360 monitors backup and disaster recovery operations, system events, and Windows restore activities to support rapid incident response and evidence collection.</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NCSC UK.</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3c1d99d-0cac-1560-26d7-7ef58fbf501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3c1d99d-0cac-1560-26d7-7ef58fbf501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