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B3S Krankenhaus and SGB V Section 75c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German hospital cybersecurity requirements with continuous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B3S Krankenhaus and SGB V Section 75c Compliance extension for Log360 helps German hospitals and healthcare facilities with critical infrastructure designation meet the sector-specific security standard (B3S Krankenhaus) and the statutory cybersecurity obligations under Social Code Book V Section 75c.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hospital information systems, clinical applications, cloud environments, and network infrastructure, providing security teams with visibility into patient data access and system integrity events. Compliance teams can monitor control effectiveness and generate BSI-ready audit evidence.</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aligned to B3S Krankenhaus controls covering access management, clinical system monitoring, and cybersecurity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access to electronic health records, detect unusual data exports, and monitor privileged user activity across hospital IT environments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Continuously correlate security events across your IT environment to detect suspicious activity and policy violations aligned with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B3S Krankenhaus</w:t>
      </w:r>
      <w:r w:rsidR="00000000" w:rsidDel="00000000" w:rsidRPr="00000000">
        <w:rPr>
          <w:shd w:fill="auto" w:val="clear" w:color="auto"/>
          <w:vertAlign w:val="baseline"/>
        </w:rPr>
        <w:t xml:space="preserve"> incident detection and response obligations.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BSI KRITIS audits, hospital management reviews, and internal healthcare cybersecurity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B3S Krankenhaus and SGB V Section 75c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ff58a9ec-a003-52b8-a0a0-12ef489d3139" w:fontKey="{00000000-0000-0000-0000-000000000000}" w:subsetted="0"/>
  </w:font>
  <w:font w:name="Caladea Regular">
    <w:embedRegular xmlns:r="http://schemas.openxmlformats.org/officeDocument/2006/relationships" r:id="rId57c7951b-f635-d913-2a9a-054a92df842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4792981">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34311386">
    <w:abstractNumId w:val="54792981"/>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
    <w:name w:val="Body Text"/>
    <w:uiPriority w:val="1"/>
    <w:basedOn w:val="Normal"/>
    <w:next w:val="BodyText"/>
    <w:pPr>
      <w:spacing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3">
    <w:name w:val="List 3"/>
    <w:uiPriority w:val="1"/>
    <w:basedOn w:val="Normal"/>
    <w:next w:val="List3"/>
    <w:p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TOCHeading">
    <w:name w:val="TOC Heading"/>
    <w:uiPriority w:val="1"/>
    <w:basedOn w:val="Heading1"/>
    <w:next w:val="Normal"/>
    <w:pPr>
      <w:widowControl w:val="1"/>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List2">
    <w:name w:val="List 2"/>
    <w:uiPriority w:val="1"/>
    <w:basedOn w:val="Normal"/>
    <w:next w:val="List2"/>
    <w:pPr>
      <w:widowControl w:val="1"/>
      <w:ind w:left="720" w:hanging="360"/>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ff58a9ec-a003-52b8-a0a0-12ef489d3139" Target="fonts/ArimoRegular.ttf" Type="http://schemas.openxmlformats.org/officeDocument/2006/relationships/font"/><Relationship Id="rId57c7951b-f635-d913-2a9a-054a92df8428"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