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EPDK Energy Sector Cybersecurity Regulation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EPDK cybersecurity requirements with real-time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EPDK Energy Sector Cybersecurity Regulation Compliance extension for Log360 helps Turkish electricity, natural gas, and petroleum market operators regulated by the Energy Market Regulatory Authority (EPDK) meet the sector's cybersecurity monitoring, incident reporting, and control implementation requirements.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energy management systems, SCADA environments, IT infrastructure, and network devices, providing security teams with continuous visibility into cyber threats to energy operations. Compliance teams can document ISMS adherence and generate audit evidence for EPDK reporting.</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audit reports aligned to EPDK energy sector cybersecurity requirements covering SCADA monitoring, access control, and incident detection for energy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operational technology and IT systems for unauthorized commands, anomalous access events, and configuration changes affecting energy operations.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energy sector cybersecurity events such as SCADA access violations, privilege escalations, and intrusion indicators.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EPDK-ready compliance evidence in PDF and CSV formats for regulatory submissions and internal energy ISMS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EPDK Energy Sector Cybersecurity Regulation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4cf7051b-ee0c-47fe-4426-420c437b6bb6" w:fontKey="{00000000-0000-0000-0000-000000000000}" w:subsetted="0"/>
  </w:font>
  <w:font w:name="Caladea Regular">
    <w:embedRegular xmlns:r="http://schemas.openxmlformats.org/officeDocument/2006/relationships" r:id="rId84287c67-8358-fb74-c190-73938ea82bad"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List3">
    <w:name w:val="List 3"/>
    <w:uiPriority w:val="1"/>
    <w:basedOn w:val="Normal"/>
    <w:next w:val="List3"/>
    <w:pPr>
      <w:widowControl w:val="1"/>
      <w:ind w:left="1080" w:hanging="360"/>
    </w:pPr>
    <w:rPr/>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
    <w:name w:val="List"/>
    <w:uiPriority w:val="1"/>
    <w:basedOn w:val="Normal"/>
    <w:next w:val="List"/>
    <w:pPr>
      <w:widowControl w:val="1"/>
      <w:ind w:left="36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BodyText">
    <w:name w:val="Body Text"/>
    <w:uiPriority w:val="1"/>
    <w:basedOn w:val="Normal"/>
    <w:next w:val="BodyText"/>
    <w:pPr>
      <w:spacing w:after="120.0"/>
      <w:widowControl w:val="1"/>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TOCHeading">
    <w:name w:val="TOC Heading"/>
    <w:uiPriority w:val="1"/>
    <w:basedOn w:val="Heading1"/>
    <w:next w:val="Normal"/>
    <w:pPr>
      <w:widowControl w:val="1"/>
    </w:pPr>
    <w:rPr/>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cf7051b-ee0c-47fe-4426-420c437b6bb6" Target="fonts/ArimoRegular.ttf" Type="http://schemas.openxmlformats.org/officeDocument/2006/relationships/font"/><Relationship Id="rId84287c67-8358-fb74-c190-73938ea82bad"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