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French Military Programming Act 2024-2030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Support infrastructure security with real-time threat detection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French Military Programming Act 2024-2030 (LPM) Compliance extension for Log360 helps French critical infrastructure operators and defense-adjacent organizations meet the enhanced cybersecurity monitoring, incident reporting, and resilience obligations introduced under the LPM.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continuously collects and correlates logs from operational technology, IT systems, cloud platforms, and network infrastructure, providing security teams with continuous visibility into potential threats. Compliance teams can track control effectiveness and generate ANSSI-aligned audit evidence.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covering LPM security monitoring requirements for critical infrastructure, including access control, incident detection, and network security events.</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shd w:fill="auto" w:val="clear" w:color="auto"/>
          <w:vertAlign w:val="baseline"/>
        </w:rPr>
        <w:t xml:space="preserve">Centralize log data from across your infrastructure to maintain real-time visibility into user activity and access patterns, supporting proactive threat identification and compliance posture.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privileged access events, critical system changes, and network anomalies across LPM-regulated environments in real time.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ANSSI reporting, supervisory authority submissions, and internal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French Military Programming Act 2024-2030 (LPM)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534ad0a8-fcfe-bc75-44bc-695e38ecc5d6" w:fontKey="{00000000-0000-0000-0000-000000000000}" w:subsetted="0"/>
  </w:font>
  <w:font w:name="Caladea Regular">
    <w:embedRegular xmlns:r="http://schemas.openxmlformats.org/officeDocument/2006/relationships" r:id="rIdd3d76910-5f1b-bee9-15d1-1a7f0ff7031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1089972">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25382415">
    <w:abstractNumId w:val="41089972"/>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TOCHeading">
    <w:name w:val="TOC Heading"/>
    <w:uiPriority w:val="1"/>
    <w:basedOn w:val="Heading1"/>
    <w:next w:val="Normal"/>
    <w:pPr>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
    <w:name w:val="List"/>
    <w:uiPriority w:val="1"/>
    <w:basedOn w:val="Normal"/>
    <w:next w:val="List"/>
    <w:p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534ad0a8-fcfe-bc75-44bc-695e38ecc5d6" Target="fonts/ArimoRegular.ttf" Type="http://schemas.openxmlformats.org/officeDocument/2006/relationships/font" /><Relationship Id="rIdd3d76910-5f1b-bee9-15d1-1a7f0ff7031a"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