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Normal"/>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1. Cbw Compliance for Log360</w:t>
      </w:r>
    </w:p>
    <w:p xmlns:w14="http://schemas.microsoft.com/office/word/2010/wordml" w:rsidR="00000000" w:rsidRDefault="00000000" w14:textId="00000000" w:rsidDel="00000000" w:rsidP="00000000" w:rsidRPr="00000000">
      <w:pPr>
        <w:pStyle w:val="Normal"/>
        <w:widowControl w:val="1"/>
      </w:pPr>
    </w:p>
    <w:p xmlns:w14="http://schemas.microsoft.com/office/word/2010/wordml" w:rsidR="00000000" w:rsidRDefault="00000000" w14:textId="00000000" w:rsidDel="00000000" w:rsidP="00000000" w:rsidRPr="00000000">
      <w:pPr>
        <w:pStyle w:val="Normal"/>
        <w:widowControl w:val="1"/>
      </w:pPr>
      <w:r w:rsidR="00000000" w:rsidDel="00000000" w:rsidRPr="00000000">
        <w:rPr>
          <w:b w:val="true"/>
          <w:rFonts w:ascii="Roboto" w:eastAsia="Roboto" w:hAnsi="Roboto" w:cs="Roboto"/>
          <w:i w:val="false"/>
          <w:strike w:val="false"/>
          <w:color w:val="000000"/>
          <w:spacing w:val="0"/>
          <w:sz w:val="24.0"/>
          <w:u w:val="none"/>
          <w:shd w:fill="auto" w:val="clear" w:color="auto"/>
          <w:vertAlign w:val="baseline"/>
        </w:rPr>
        <w:t xml:space="preserve">Tagline</w:t>
      </w: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 – Master Cbw audit-readiness with real-time security monitoring in Log360.</w:t>
      </w:r>
    </w:p>
    <w:p xmlns:w14="http://schemas.microsoft.com/office/word/2010/wordml" w:rsidR="00000000" w:rsidRDefault="00000000" w14:textId="00000000" w:rsidDel="00000000" w:rsidP="00000000" w:rsidRPr="00000000">
      <w:pPr>
        <w:pStyle w:val="Normal"/>
        <w:widowControl w:val="1"/>
      </w:pPr>
      <w:r w:rsidR="00000000" w:rsidDel="00000000" w:rsidRPr="00000000">
        <w:rPr>
          <w:b w:val="true"/>
          <w:rFonts w:ascii="Roboto" w:eastAsia="Roboto" w:hAnsi="Roboto" w:cs="Roboto"/>
          <w:i w:val="false"/>
          <w:strike w:val="false"/>
          <w:color w:val="000000"/>
          <w:spacing w:val="0"/>
          <w:sz w:val="24.0"/>
          <w:u w:val="none"/>
          <w:shd w:fill="auto" w:val="clear" w:color="auto"/>
          <w:vertAlign w:val="baseline"/>
        </w:rPr>
        <w:t xml:space="preserve">Overview: </w:t>
      </w: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The Cbw Compliance extension for Log360 helps organizations maintain full compliance with Cbw logging and monitoring standards. By integrating this extension, IT and security teams gain deep visibility into their security posture and operational activities. </w:t>
      </w:r>
    </w:p>
    <w:p xmlns:w14="http://schemas.microsoft.com/office/word/2010/wordml" w:rsidR="00000000" w:rsidRDefault="00000000" w14:textId="00000000" w:rsidDel="00000000" w:rsidP="00000000" w:rsidRPr="00000000">
      <w:pPr>
        <w:pStyle w:val="Normal"/>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Log360 continuously collects and correlates log data from Active Directory, Windows, Unix/Linux, Microsoft 365, cloud platforms, and network devices, mapping events directly to Cbw requirements. Security teams can track compliance status in real time, investigate incidents quickly, and generate audit-ready reports with a single click.</w:t>
      </w:r>
    </w:p>
    <w:p xmlns:w14="http://schemas.microsoft.com/office/word/2010/wordml" w:rsidR="00000000" w:rsidRDefault="00000000" w14:textId="00000000" w:rsidDel="00000000" w:rsidP="00000000" w:rsidRPr="00000000">
      <w:pPr>
        <w:pStyle w:val="Normal"/>
        <w:widowControl w:val="1"/>
      </w:pPr>
    </w:p>
    <w:p xmlns:w14="http://schemas.microsoft.com/office/word/2010/wordml" w:rsidR="00000000" w:rsidRDefault="00000000" w14:textId="00000000" w:rsidDel="00000000" w:rsidP="00000000" w:rsidRPr="00000000">
      <w:pPr>
        <w:pStyle w:val="Normal"/>
        <w:widowControl w:val="1"/>
      </w:pPr>
      <w:r w:rsidR="00000000" w:rsidDel="00000000" w:rsidRPr="00000000">
        <w:rPr>
          <w:b w:val="true"/>
          <w:rFonts w:ascii="Roboto" w:eastAsia="Roboto" w:hAnsi="Roboto" w:cs="Roboto"/>
          <w:i w:val="false"/>
          <w:strike w:val="false"/>
          <w:color w:val="000000"/>
          <w:spacing w:val="0"/>
          <w:sz w:val="24.0"/>
          <w:u w:val="none"/>
          <w:shd w:fill="auto" w:val="clear" w:color="auto"/>
          <w:vertAlign w:val="baseline"/>
        </w:rPr>
        <w:t xml:space="preserve">Key Features:</w:t>
      </w:r>
    </w:p>
    <w:p xmlns:w14="http://schemas.microsoft.com/office/word/2010/wordml" w:rsidR="00000000" w:rsidRDefault="00000000" w14:textId="00000000" w:rsidDel="00000000" w:rsidP="00000000" w:rsidRPr="00000000">
      <w:pPr>
        <w:pStyle w:val="List Paragraph"/>
        <w:spacing w:after="0.0" w:before="0.0"/>
        <w:rPr/>
        <w:numPr>
          <w:ilvl w:val="0"/>
          <w:numId w:val="38812699"/>
        </w:num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Generate comprehensive audit-reports mapped to all Cbw logging requirements and controls.</w:t>
      </w:r>
    </w:p>
    <w:p xmlns:w14="http://schemas.microsoft.com/office/word/2010/wordml" w:rsidR="00000000" w:rsidRDefault="00000000" w14:textId="00000000" w:rsidDel="00000000" w:rsidP="00000000" w:rsidRPr="00000000">
      <w:pPr>
        <w:pStyle w:val="List Paragraph"/>
        <w:spacing w:after="0.0" w:before="0.0"/>
        <w:rPr/>
        <w:numPr>
          <w:ilvl w:val="0"/>
          <w:numId w:val="38812699"/>
        </w:num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Aggregate logs from various sources including servers, workstations, network devices, cloud platforms, and applications in real-time.</w:t>
      </w:r>
    </w:p>
    <w:p xmlns:w14="http://schemas.microsoft.com/office/word/2010/wordml" w:rsidR="00000000" w:rsidRDefault="00000000" w14:textId="00000000" w:rsidDel="00000000" w:rsidP="00000000" w:rsidRPr="00000000">
      <w:pPr>
        <w:pStyle w:val="List Paragraph"/>
        <w:spacing w:after="0.0" w:before="0.0"/>
        <w:rPr/>
        <w:numPr>
          <w:ilvl w:val="0"/>
          <w:numId w:val="38812699"/>
        </w:num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Automatically parse and normalize log formats from Windows, Linux, firewalls, databases, and cloud platforms for consistent analysis.</w:t>
      </w:r>
    </w:p>
    <w:p xmlns:w14="http://schemas.microsoft.com/office/word/2010/wordml" w:rsidR="00000000" w:rsidRDefault="00000000" w14:textId="00000000" w:rsidDel="00000000" w:rsidP="00000000" w:rsidRPr="00000000">
      <w:pPr>
        <w:pStyle w:val="List Paragraph"/>
        <w:spacing w:after="0.0" w:before="0.0"/>
        <w:rPr/>
        <w:numPr>
          <w:ilvl w:val="0"/>
          <w:numId w:val="38812699"/>
        </w:num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Export reports in PDF and CSV format for auditors, management, or regulatory submissions.</w:t>
      </w:r>
    </w:p>
    <w:p xmlns:w14="http://schemas.microsoft.com/office/word/2010/wordml" w:rsidR="00000000" w:rsidRDefault="00000000" w14:textId="00000000" w:rsidDel="00000000" w:rsidP="00000000" w:rsidRPr="00000000">
      <w:pPr>
        <w:pStyle w:val="Normal"/>
        <w:rPr/>
        <w:widowControl w:val="1"/>
      </w:pPr>
    </w:p>
    <w:p xmlns:w14="http://schemas.microsoft.com/office/word/2010/wordml" w:rsidR="00000000" w:rsidRDefault="00000000" w14:textId="00000000" w:rsidDel="00000000" w:rsidP="00000000" w:rsidRPr="00000000">
      <w:pPr>
        <w:pStyle w:val="Normal"/>
        <w:rPr/>
        <w:widowControl w:val="1"/>
      </w:pPr>
    </w:p>
    <w:p xmlns:w14="http://schemas.microsoft.com/office/word/2010/wordml" w:rsidR="00000000" w:rsidRDefault="00000000" w14:textId="00000000" w:rsidDel="00000000" w:rsidP="00000000" w:rsidRPr="00000000">
      <w:pPr>
        <w:pStyle w:val="Normal"/>
        <w:rPr/>
        <w:widowControl w:val="1"/>
      </w:pPr>
    </w:p>
    <w:p xmlns:w14="http://schemas.microsoft.com/office/word/2010/wordml" w:rsidR="00000000" w:rsidRDefault="00000000" w14:textId="00000000" w:rsidDel="00000000" w:rsidP="00000000" w:rsidRPr="00000000">
      <w:pPr>
        <w:pStyle w:val="Normal"/>
        <w:r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r w:rsidR="00000000" w:rsidDel="00000000" w:rsidRPr="00000000">
        <w:drawing>
          <wp:inline xmlns:wp="http://schemas.openxmlformats.org/drawingml/2006/wordprocessingDrawing" distT="0" distR="0" distB="0" distL="0">
            <wp:extent cx="6858000" cy="3150973"/>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6858000" cy="3150973"/>
                    </a:xfrm>
                    <a:prstGeom prst="rect"/>
                  </pic:spPr>
                </pic:pic>
              </a:graphicData>
            </a:graphic>
          </wp:inline>
        </w:drawing>
      </w:r>
    </w:p>
    <w:p xmlns:w14="http://schemas.microsoft.com/office/word/2010/wordml" w:rsidR="00000000" w:rsidRDefault="00000000" w14:textId="00000000" w:rsidDel="00000000" w:rsidP="00000000" w:rsidRPr="00000000">
      <w:pPr>
        <w:pStyle w:val="Normal"/>
        <w:rPr/>
        <w:widowControl w:val="1"/>
      </w:pP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858000" cy="3857625"/>
                    </a:xfrm>
                    <a:prstGeom prst="rect"/>
                  </pic:spPr>
                </pic:pic>
              </a:graphicData>
            </a:graphic>
          </wp:inline>
        </w:drawing>
      </w:r>
    </w:p>
    <w:p xmlns:w14="http://schemas.microsoft.com/office/word/2010/wordml" w:rsidR="00000000" w:rsidRDefault="00000000" w14:textId="00000000" w:rsidDel="00000000" w:rsidP="00000000" w:rsidRPr="00000000">
      <w:pPr>
        <w:pStyle w:val="Normal"/>
        <w:rPr/>
        <w:widowControl w:val="1"/>
      </w:pP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Valid Submission : Yes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Help Video : Not provided</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Privacy Policy:</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Terms of Service: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Release Notes: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Predefined reports for the Cbw</w:t>
      </w: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540" w:bottom="720" w:left="720" w:right="720" w:top="720" w:footer="540"/>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8f74fc56-9e90-be3c-b792-af43dd753737"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99113661">
    <w:lvl w:ilvl="0">
      <w:start w:val="1"/>
      <w:numFmt w:val="bullet"/>
      <w:lvlText w:val="●"/>
      <w:lvlJc w:val="left"/>
      <w:pPr>
        <w:widowControl w:val="1"/>
        <w:ind w:left="720" w:hanging="360"/>
      </w:pPr>
      <w:rPr/>
    </w:lvl>
    <w:lvl w:ilvl="1">
      <w:start w:val="1"/>
      <w:numFmt w:val="bullet"/>
      <w:lvlText w:val="○"/>
      <w:lvlJc w:val="left"/>
      <w:pPr>
        <w:widowControl w:val="1"/>
        <w:ind w:left="1440" w:hanging="360"/>
      </w:pPr>
      <w:rPr/>
    </w:lvl>
    <w:lvl w:ilvl="2">
      <w:start w:val="1"/>
      <w:numFmt w:val="bullet"/>
      <w:lvlText w:val="▪"/>
      <w:lvlJc w:val="left"/>
      <w:pPr>
        <w:widowControl w:val="1"/>
        <w:ind w:left="2160" w:hanging="360"/>
      </w:pPr>
      <w:rPr/>
    </w:lvl>
    <w:lvl w:ilvl="3">
      <w:start w:val="1"/>
      <w:numFmt w:val="bullet"/>
      <w:lvlText w:val="●"/>
      <w:lvlJc w:val="left"/>
      <w:pPr>
        <w:widowControl w:val="1"/>
        <w:ind w:left="2880" w:hanging="360"/>
      </w:pPr>
      <w:rPr/>
    </w:lvl>
    <w:lvl w:ilvl="4">
      <w:start w:val="1"/>
      <w:numFmt w:val="bullet"/>
      <w:lvlText w:val="○"/>
      <w:lvlJc w:val="left"/>
      <w:pPr>
        <w:widowControl w:val="1"/>
        <w:ind w:left="3600" w:hanging="360"/>
      </w:pPr>
      <w:rPr/>
    </w:lvl>
    <w:lvl w:ilvl="5">
      <w:start w:val="1"/>
      <w:numFmt w:val="bullet"/>
      <w:lvlText w:val="▪"/>
      <w:lvlJc w:val="left"/>
      <w:pPr>
        <w:widowControl w:val="1"/>
        <w:ind w:left="4320" w:hanging="360"/>
      </w:pPr>
      <w:rPr/>
    </w:lvl>
    <w:lvl w:ilvl="6">
      <w:start w:val="1"/>
      <w:numFmt w:val="bullet"/>
      <w:lvlText w:val="●"/>
      <w:lvlJc w:val="left"/>
      <w:pPr>
        <w:widowControl w:val="1"/>
        <w:ind w:left="5040" w:hanging="360"/>
      </w:pPr>
      <w:rPr/>
    </w:lvl>
    <w:lvl w:ilvl="7">
      <w:start w:val="1"/>
      <w:numFmt w:val="bullet"/>
      <w:lvlText w:val="○"/>
      <w:lvlJc w:val="left"/>
      <w:pPr>
        <w:widowControl w:val="1"/>
        <w:ind w:left="5760" w:hanging="360"/>
      </w:pPr>
      <w:rPr/>
    </w:lvl>
    <w:lvl w:ilvl="8">
      <w:start w:val="1"/>
      <w:numFmt w:val="bullet"/>
      <w:lvlText w:val="▪"/>
      <w:lvlJc w:val="left"/>
      <w:pPr>
        <w:widowControl w:val="1"/>
        <w:ind w:left="6480" w:hanging="360"/>
      </w:pPr>
      <w:rPr/>
    </w:lvl>
  </w:abstractNum>
  <w:num w:numId="38812699">
    <w:abstractNumId w:val="99113661"/>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Theme="minorHAnsi" w:eastAsiaTheme="minorHAnsi" w:hAnsiTheme="minorHAnsi" w:cstheme="minorHAnsi"/>
        <w:color w:val="000000" w:themeColor="dark1"/>
        <w:sz w:val="24"/>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Theme="minorHAnsi" w:eastAsiaTheme="minorHAnsi" w:hAnsiTheme="minorHAnsi" w:cstheme="minorHAnsi"/>
      <w:color w:val="000000" w:themeColor="dark1"/>
      <w:sz w:val="24"/>
    </w:rPr>
    <w:unhideWhenUsed/>
    <w:qFormat/>
  </w:style>
  <w:style w:type="paragraph" w:styleId="Heading1">
    <w:name w:val="Heading 1"/>
    <w:uiPriority w:val="1"/>
    <w:basedOn w:val="Normal"/>
    <w:next w:val="Normal"/>
    <w:link w:val="Heading1Char"/>
    <w:pPr>
      <w:spacing w:line="240.0" w:after="200.0"/>
      <w:jc w:val="left"/>
      <w:widowControl w:val="1"/>
    </w:pPr>
    <w:rPr>
      <w:b w:val="true"/>
      <w:rFonts w:asciiTheme="majorHAnsi" w:eastAsiaTheme="majorHAnsi" w:hAnsiTheme="majorHAnsi" w:cstheme="majorHAnsi"/>
      <w:color w:val="000000" w:themeColor="dark1" w:themeTint="F2"/>
      <w:sz w:val="48"/>
    </w:rPr>
    <w:unhideWhenUsed/>
    <w:qFormat/>
  </w:style>
  <w:style w:type="paragraph" w:styleId="Heading2">
    <w:name w:val="Heading 2"/>
    <w:uiPriority w:val="1"/>
    <w:basedOn w:val="Normal"/>
    <w:next w:val="Normal"/>
    <w:link w:val="Heading2Char"/>
    <w:pPr>
      <w:spacing w:line="288.0000114440918" w:after="160.0"/>
      <w:jc w:val="left"/>
      <w:widowControl w:val="1"/>
    </w:pPr>
    <w:rPr>
      <w:b w:val="true"/>
      <w:rFonts w:asciiTheme="majorHAnsi" w:eastAsiaTheme="majorHAnsi" w:hAnsiTheme="majorHAnsi" w:cstheme="majorHAnsi"/>
      <w:color w:val="000000" w:themeColor="dark1"/>
      <w:sz w:val="36"/>
    </w:rPr>
    <w:unhideWhenUsed/>
    <w:qFormat/>
  </w:style>
  <w:style w:type="paragraph" w:styleId="Heading3">
    <w:name w:val="Heading 3"/>
    <w:uiPriority w:val="1"/>
    <w:basedOn w:val="Normal"/>
    <w:next w:val="Normal"/>
    <w:link w:val="Heading3Char"/>
    <w:pPr>
      <w:spacing w:line="288.0000114440918" w:after="160.0"/>
      <w:jc w:val="left"/>
      <w:widowControl w:val="1"/>
    </w:pPr>
    <w:rPr>
      <w:b w:val="true"/>
      <w:rFonts w:asciiTheme="majorHAnsi" w:eastAsiaTheme="majorHAnsi" w:hAnsiTheme="majorHAnsi" w:cstheme="majorHAnsi"/>
      <w:color w:val="000000" w:themeColor="dark1"/>
      <w:sz w:val="32"/>
    </w:rPr>
    <w:unhideWhenUsed/>
    <w:qFormat/>
  </w:style>
  <w:style w:type="paragraph" w:styleId="Heading4">
    <w:name w:val="Heading 4"/>
    <w:uiPriority w:val="1"/>
    <w:basedOn w:val="Normal"/>
    <w:next w:val="Normal"/>
    <w:link w:val="Heading4Char"/>
    <w:pPr>
      <w:spacing w:line="288.0000114440918" w:after="160.0"/>
      <w:jc w:val="left"/>
      <w:widowControl w:val="1"/>
    </w:pPr>
    <w:rPr>
      <w:b w:val="true"/>
      <w:rFonts w:asciiTheme="majorHAnsi" w:eastAsiaTheme="majorHAnsi" w:hAnsiTheme="majorHAnsi" w:cstheme="majorHAnsi"/>
      <w:i w:val="true"/>
      <w:color w:val="000000" w:themeColor="dark1"/>
      <w:sz w:val="28"/>
    </w:rPr>
    <w:unhideWhenUsed/>
    <w:qFormat/>
  </w:style>
  <w:style w:type="paragraph" w:styleId="Heading5">
    <w:name w:val="Heading 5"/>
    <w:uiPriority w:val="1"/>
    <w:basedOn w:val="Normal"/>
    <w:next w:val="Normal"/>
    <w:link w:val="Heading5Char"/>
    <w:pPr>
      <w:spacing w:line="311.9999885559082" w:after="160.0"/>
      <w:shd w:fill="000000" w:val="clear" w:color="auto" w:themeFillTint="BF" w:themeFill="text1"/>
      <w:pBdr>
        <w:top w:val="none" w:color="000000" w:themeColor="dark1" w:sz="0" w:space="0"/>
        <w:left w:val="none" w:color="000000" w:themeColor="dark1" w:sz="0" w:space="3"/>
        <w:bottom w:val="none" w:color="000000" w:themeColor="dark1" w:sz="0" w:space="0"/>
        <w:right w:val="none" w:color="000000" w:themeColor="dark1" w:sz="0" w:space="3"/>
      </w:pBdr>
      <w:jc w:val="left"/>
      <w:widowControl w:val="1"/>
    </w:pPr>
    <w:rPr>
      <w:rFonts w:asciiTheme="majorHAnsi" w:eastAsiaTheme="majorHAnsi" w:hAnsiTheme="majorHAnsi" w:cstheme="majorHAnsi"/>
      <w:color w:val="FFFFFF" w:themeColor="light1"/>
      <w:sz w:val="24"/>
    </w:rPr>
    <w:unhideWhenUsed/>
    <w:qFormat/>
  </w:style>
  <w:style w:type="paragraph" w:styleId="Heading6">
    <w:name w:val="Heading 6"/>
    <w:uiPriority w:val="1"/>
    <w:basedOn w:val="Normal"/>
    <w:next w:val="Normal"/>
    <w:link w:val="Heading6Char"/>
    <w:pPr>
      <w:spacing w:line="288.0000114440918" w:after="120.0"/>
      <w:jc w:val="left"/>
      <w:widowControl w:val="1"/>
    </w:pPr>
    <w:rPr>
      <w:rFonts w:asciiTheme="majorHAnsi" w:eastAsiaTheme="majorHAnsi" w:hAnsiTheme="majorHAnsi" w:cstheme="majorHAnsi"/>
      <w:i w:val="true"/>
      <w:color w:val="000000" w:themeColor="dark1"/>
      <w:sz w:val="22"/>
      <w:u w:val="single"/>
    </w:rPr>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Title">
    <w:name w:val="Title"/>
    <w:uiPriority w:val="1"/>
    <w:basedOn w:val="Normal"/>
    <w:next w:val="Normal"/>
    <w:link w:val="TitleChar"/>
    <w:pPr>
      <w:spacing w:line="240.0" w:after="360.0"/>
      <w:jc w:val="left"/>
      <w:widowControl w:val="1"/>
    </w:pPr>
    <w:rPr>
      <w:b w:val="true"/>
      <w:rFonts w:asciiTheme="majorHAnsi" w:eastAsiaTheme="majorHAnsi" w:hAnsiTheme="majorHAnsi" w:cstheme="majorHAnsi"/>
      <w:color w:val="447DE2" w:themeColor="accent1" w:themeShade="BF"/>
      <w:spacing w:val="0"/>
      <w:sz w:val="72"/>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spacing w:after="0.0" w:before="0.0"/>
      <w:widowControl w:val="1"/>
      <w:ind w:left="720"/>
    </w:pPr>
    <w:rPr/>
    <w:unhideWhenUsed/>
    <w:qFormat/>
  </w:style>
  <w:style w:type="paragraph" w:styleId="NoSpacing">
    <w:name w:val="No Spacing"/>
    <w:uiPriority w:val="1"/>
    <w:basedOn w:val="Normal"/>
    <w:next w:val="Normal"/>
    <w:pPr>
      <w:spacing w:line="240.0"/>
      <w:widowControl w:val="1"/>
    </w:pPr>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8f74fc56-9e90-be3c-b792-af43dd753737"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