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6. Wabvpz Compliance for Log360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Tagline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– Automate Wabvpz compliance monitoring and reduce audit complexity with Log360.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Overview: 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The Wabvpz Compliance extension for Log360 helps organizations meet Wabvpz regulatory requirements. By integrating this extension, IT and security teams gain full visibility into their compliance posture and security controls.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Log360 continuously collects and correlates log data from Active Directory, Windows, Unix/Linux, Microsoft 365, cloud platforms, and network devices, mapping events directly to Wabvpz standards. Security teams can track compliance status in real time, investigate incidents quickly, and generate audit-ready reports with a single click.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Key Features: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numPr>
          <w:ilvl w:val="0"/>
          <w:numId w:val="86100797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Generate comprehensive audit-reports mapped to each of the Wabvpz regulatory controls and requirements.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numPr>
          <w:ilvl w:val="0"/>
          <w:numId w:val="86100797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Securely stores and archives logs for customizable retention periods meeting all Wabvpz data preservation mandates.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numPr>
          <w:ilvl w:val="0"/>
          <w:numId w:val="86100797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Offers pre-built and customizable reports for compliance with interactive dashboards for real-time monitoring.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numPr>
          <w:ilvl w:val="0"/>
          <w:numId w:val="86100797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Export reports in PDF and CSV format for auditors, management, or regulatory submissions.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1714500" cy="17145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6858000" cy="3150973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50973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858000" cy="38576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6858000" cy="38576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6858000" cy="38576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/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6858000" cy="38576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Valid Submission : Yes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Supported Editions : Free, Basic, Standard, Professional, MSSP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Help Document : https://www.manageengine.com/log-management/help/integrations/compliance-extensions.html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Help Video : Not provided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Tags : Log360, Compliance, Privacy monitoring, Data privacy, Regulatory compliance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Supported DCs : US, IN, JP, CA, AU, UK and EU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Privacy Policy: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Terms of Service: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Release Notes: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Predefined reports for the Wabvpz Compliance.</w:t>
      </w:r>
    </w:p>
    <w:sectPr>
      <w:headerReference xmlns:r="http://schemas.openxmlformats.org/officeDocument/2006/relationships" r:id="rId12" w:type="default"/>
      <w:footerReference xmlns:r="http://schemas.openxmlformats.org/officeDocument/2006/relationships" r:id="rId13" w:type="default"/>
      <w:type w:val="nextPage"/>
      <w:pgSz w:w="12240" w:orient="portrait" w:h="15840"/>
      <w:pgMar w:header="540" w:bottom="720" w:left="720" w:right="720" w:top="720" w:footer="54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d0dbda1d-c5fc-a74e-9e08-c2e655d4225c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4077869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86100797">
    <w:abstractNumId w:val="40778696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header1.xml" Type="http://schemas.openxmlformats.org/officeDocument/2006/relationships/header"/><Relationship Id="rId13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d0dbda1d-c5fc-a74e-9e08-c2e655d4225c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