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NBB IT Risk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w:t>
      </w:r>
      <w:r w:rsidR="00000000" w:rsidDel="00000000" w:rsidRPr="00000000">
        <w:rPr>
          <w:color w:val="000000"/>
          <w:spacing w:val="0"/>
          <w:vertAlign w:val="baseline"/>
        </w:rPr>
        <w:t xml:space="preserve">Streamline NBB IT Risk compliance and monitoring with Log360.</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NBB IT Risk Compliance extension for Log360 helps financial institutions align with the National Bank of Belgium's IT Risk framework. By integrating this extension, IT and security teams gain deep visibility into their IT risk posture and control effectiveness.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NBB IT Risk standards.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each of the NBB IT Risk requirements and controls.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Generates real-time alerts for defined events, rule violations, and IT risk anomalies with multi-channel notifications.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Provides powerful search capabilities with filters, keywords, and time-based queries for rapid incident investigation.</w:t>
      </w:r>
    </w:p>
    <w:p xmlns:w14="http://schemas.microsoft.com/office/word/2010/wordml" w:rsidR="00000000" w:rsidRDefault="00000000" w14:textId="00000000" w:rsidDel="00000000" w:rsidP="00000000" w:rsidRPr="00000000">
      <w:p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NBB IT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42f1f8ca-1c5e-c14e-734f-eddc587329a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42f1f8ca-1c5e-c14e-734f-eddc587329a7"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