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DFSA Cyber Risk Framework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Tagline:</w:t>
      </w:r>
      <w:r w:rsidR="00000000" w:rsidDel="00000000" w:rsidRPr="00000000">
        <w:rPr/>
        <w:t xml:space="preserve"> Meet the DFSA's cyber risk management expectations with security monitoring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 DFSA Cyber Risk Framework Compliance extension for Log360 supports DIFC-licensed financial services firms in fulfilling the cybersecurity risk management, threat detection, and incident response obligations required by the Dubai Financial Services Authority.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Log360 collects and correlates logs from financial applications, trading systems, cloud environments, and network infrastructure, providing real-time visibility into cyber risk indicators. Compliance and security teams can monitor critical controls, identify incidents early, and deliver audit-grade evidence to DFSA supervisors demonstrating the maturity of their cyber risk management programs.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Generate audit-ready reports covering DFSA cyber risk framework requirements including access control monitoring, threat detection, and incident logging.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Track privileged user actions, administrative changes, and access events across financial services systems in real time.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pacing w:val="0"/>
          <w:vertAlign w:val="baseline"/>
        </w:rPr>
        <w:t xml:space="preserve">Identify threats targeting DIFC financial institutions through behavioral analytics and anomaly detection, with specialized rules for fraud detection and account compromise across trading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Export compliance reports in PDF and CSV formats for DFSA supervisory submissions and internal cyber risk committee reviews.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DFSA Cyber Risk Framework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3bdf291f-d671-20fe-5cc5-3ef2c08d7945" w:fontKey="{00000000-0000-0000-0000-000000000000}" w:subsetted="0"/>
  </w:font>
  <w:font w:name="Caladea Regular">
    <w:embedRegular xmlns:r="http://schemas.openxmlformats.org/officeDocument/2006/relationships" r:id="rId62f76b89-5d48-47af-656c-22185315cb2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bdf291f-d671-20fe-5cc5-3ef2c08d7945" Target="fonts/ArimoRegular.ttf" Type="http://schemas.openxmlformats.org/officeDocument/2006/relationships/font"/><Relationship Id="rId62f76b89-5d48-47af-656c-22185315cb2d" Target="fonts/Caladea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