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ADHICS v2.0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Safeguard Abu Dhabi healthcare data with centralized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ADHICS v2.0 (Abu Dhabi Healthcare Information &amp; Cyber Security Standard) Compliance extension for Log360 enables Abu Dhabi healthcare organizations and providers regulated by DOH to meet the comprehensive information security and cybersecurity requirements of ADHICS v2.0.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electronic health record systems, medical devices, cloud platforms, and network infrastructure, providing continuous visibility into patient data access and system integrity. Security and compliance teams can detect threats targeting sensitive health information, demonstrate control effectiveness, and generate audit-ready reports for DOH assessments.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ADHICS v2.0 controls including access management, data confidentiality, and security incident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access to electronic health records, detect unauthorized data exports, and monitor privileged user activity across clinical systems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vertAlign w:val="baseline"/>
        </w:rPr>
        <w:t xml:space="preserve">Centralize log data from across your infrastructure to maintain real-time visibility into user activity and access patterns, supporting proactive threat identification and compliance posture.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reports in PDF and CSV formats for DOH audits, accreditation submissions, and internal healthcare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ADHICS v2.0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10cc1883-5e53-2920-0214-2c234cd218d6" w:fontKey="{00000000-0000-0000-0000-000000000000}" w:subsetted="0"/>
  </w:font>
  <w:font w:name="Caladea Regular">
    <w:embedRegular xmlns:r="http://schemas.openxmlformats.org/officeDocument/2006/relationships" r:id="rId4be91a0b-e041-a4e6-071e-fcc99fb2589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5055492">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20188733">
    <w:abstractNumId w:val="85055492"/>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BodyText">
    <w:name w:val="Body Text"/>
    <w:uiPriority w:val="1"/>
    <w:basedOn w:val="Normal"/>
    <w:next w:val="BodyText"/>
    <w:pPr>
      <w:spacing w:after="120.0"/>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OCHeading">
    <w:name w:val="TOC Heading"/>
    <w:uiPriority w:val="1"/>
    <w:basedOn w:val="Heading1"/>
    <w:next w:val="Normal"/>
    <w:pPr>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10cc1883-5e53-2920-0214-2c234cd218d6" Target="fonts/ArimoRegular.ttf" Type="http://schemas.openxmlformats.org/officeDocument/2006/relationships/font" /><Relationship Id="rId4be91a0b-e041-a4e6-071e-fcc99fb25898"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