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KAIT - ZAIT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Satisfy BaFin's capital market with unified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KAIT / ZAIT (BaFin Capital Market IT / Payment Service IT) Compliance extension for Log360 helps German capital market service providers and payment institutions meet BaFin's IT supervisory requirements for IT governance, access management, and operational security.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ingests and correlates logs from trading systems, payment processing platforms, cloud environments, and identity systems, providing continuous monitoring of IT security events. Compliance and security teams can track privileged access, detect anomalies, and generate audit-grade documentation for BaFin examinations.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KAIT/ZAIT compliance reports covering IT governance controls, access management, and security incident monitoring for capital markets and payment services.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user access to trading and payment systems, detect unauthorized configuration changes, and track privileged operations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shd w:fill="auto" w:val="clear" w:color="auto"/>
          <w:vertAlign w:val="baseline"/>
        </w:rPr>
        <w:t xml:space="preserve">Continuously correlate security events across your IT environment to detect suspicious activity and policy violations aligned with KAIT/ZAIT incident detection and response obligations.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BaFin supervisory examinations and internal IT risk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KAIT / ZAIT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c8ca4b57-bf2c-9695-cd87-8147a88db1dc" w:fontKey="{00000000-0000-0000-0000-000000000000}" w:subsetted="0"/>
  </w:font>
  <w:font w:name="Caladea Regular">
    <w:embedRegular xmlns:r="http://schemas.openxmlformats.org/officeDocument/2006/relationships" r:id="rIdcf19e500-af2d-6cec-9b10-bef97820b59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0428984">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39236555">
    <w:abstractNumId w:val="30428984"/>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Continue2">
    <w:name w:val="List Continue 2"/>
    <w:uiPriority w:val="1"/>
    <w:basedOn w:val="Normal"/>
    <w:next w:val="ListContinue2"/>
    <w:pPr>
      <w:spacing w:after="120.0"/>
      <w:widowControl w:val="1"/>
      <w:ind w:left="72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BodyText">
    <w:name w:val="Body Text"/>
    <w:uiPriority w:val="1"/>
    <w:basedOn w:val="Normal"/>
    <w:next w:val="BodyText"/>
    <w:pPr>
      <w:spacing w:after="120.0"/>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
    <w:name w:val="List"/>
    <w:uiPriority w:val="1"/>
    <w:basedOn w:val="Normal"/>
    <w:next w:val="List"/>
    <w:pPr>
      <w:widowControl w:val="1"/>
      <w:ind w:left="36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c8ca4b57-bf2c-9695-cd87-8147a88db1dc" Target="fonts/ArimoRegular.ttf" Type="http://schemas.openxmlformats.org/officeDocument/2006/relationships/font" /><Relationship Id="rIdcf19e500-af2d-6cec-9b10-bef97820b59b"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