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Italian Cybersecurity Law 90-2024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Italy's cybersecurity obligations with centralized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Italian Cybersecurity Law 90/2024 Compliance extension for Log360 helps Italian public administrations, regulated entities, and private organizations meet the enhanced cybersecurity risk management and mandatory incident reporting requirements introduced by Law 90/2024.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continuously monitors log data from IT systems, cloud platforms, and network infrastructure, correlating events to surface threats that must be reported to ACN within the mandated timeframes. Security teams can automate detection, accelerate incident investigation, and maintain the audit trails required for regulatory compliance.</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covering cybersecurity incident detection, system access, and user activity aligned to Law 90/2024 obligations.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Receive real-time alerts on security events that trigger ACN mandatory notification requirements, such as significant IT incidents and data breaches.</w:t>
      </w:r>
    </w:p>
    <w:p xmlns:w14="http://schemas.microsoft.com/office/word/2010/wordml" w:rsidR="00000000" w:rsidRDefault="00000000" w14:textId="00000000" w:rsidDel="00000000" w:rsidP="00000000" w:rsidRPr="00000000">
      <w:pPr>
        <w:pStyle w:val="ListBullet"/>
        <w:spacing w:after="0.0" w:before="0.0"/>
        <w:rPr>
          <w:shd w:fill="auto" w:val="clear" w:color="auto"/>
        </w:rPr>
        <w:numPr>
          <w:ilvl w:val="0"/>
          <w:numId w:val="1"/>
        </w:numPr>
        <w:widowControl w:val="1"/>
        <w:ind w:left="360" w:hanging="360"/>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Correlate security events across your IT environment to maintain continuous visibility into user activity, access patterns, and system changes, supporting early threat identification and Law 90/2024 incident reporting requirements.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ACN incident reports and internal governance records.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Italian Cybersecurity Law 90/2024 Compliance </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d11bc5be-fecd-7a67-9b3c-ceaa86d30000" w:fontKey="{00000000-0000-0000-0000-000000000000}" w:subsetted="0"/>
  </w:font>
  <w:font w:name="Caladea Regular">
    <w:embedRegular xmlns:r="http://schemas.openxmlformats.org/officeDocument/2006/relationships" r:id="rIdb1b2f1c4-4c6c-3e27-9f95-19bbfb35c75b"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BodyText">
    <w:name w:val="Body Text"/>
    <w:uiPriority w:val="1"/>
    <w:basedOn w:val="Normal"/>
    <w:next w:val="BodyText"/>
    <w:pPr>
      <w:spacing w:after="120.0"/>
      <w:widowControl w:val="1"/>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
    <w:name w:val="List"/>
    <w:uiPriority w:val="1"/>
    <w:basedOn w:val="Normal"/>
    <w:next w:val="List"/>
    <w:pPr>
      <w:widowControl w:val="1"/>
      <w:ind w:left="36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2">
    <w:name w:val="List 2"/>
    <w:uiPriority w:val="1"/>
    <w:basedOn w:val="Normal"/>
    <w:next w:val="List2"/>
    <w:pPr>
      <w:widowControl w:val="1"/>
      <w:ind w:left="72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TOCHeading">
    <w:name w:val="TOC Heading"/>
    <w:uiPriority w:val="1"/>
    <w:basedOn w:val="Heading1"/>
    <w:next w:val="Normal"/>
    <w:pPr>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b48f5198-9c5f-44a3-b37a-fdddf442f362.png" Type="http://schemas.openxmlformats.org/officeDocument/2006/relationships/image" /><Relationship Id="rId7" Target="media/7b7d5409-99e6-43bf-a0a9-88844fcd73ae.png" Type="http://schemas.openxmlformats.org/officeDocument/2006/relationships/image" /><Relationship Id="rId8" Target="media/a795a69b-fa10-4c02-b903-93d86f66e7cb.png" Type="http://schemas.openxmlformats.org/officeDocument/2006/relationships/image" /><Relationship Id="rId9" Target="media/b5db04ca-445f-4c4a-8dce-85e977d68c28.png" Type="http://schemas.openxmlformats.org/officeDocument/2006/relationships/image" /><Relationship Id="rId10" Target="media/4d5e93de-07e7-4875-a359-9b9b9b5dbd15.png" Type="http://schemas.openxmlformats.org/officeDocument/2006/relationships/image" /><Relationship Id="rId11" Target="media/a182fae9-8936-4bf4-81f6-1087b151e0a7.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d11bc5be-fecd-7a67-9b3c-ceaa86d30000" Target="fonts/ArimoRegular.ttf" Type="http://schemas.openxmlformats.org/officeDocument/2006/relationships/font" /><Relationship Id="rIdb1b2f1c4-4c6c-3e27-9f95-19bbfb35c75b"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