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MASAK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MASAK reporting obligations with centralized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MASAK (Turkish Financial Crimes Investigation Board) Compliance extension for Log360 helps Turkish obligated entities — including banks, payment institutions, and virtual asset service providers — meet the IT-related access control, audit logging, and transaction monitoring requirements under MASAK AML/CFT regulations.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financial systems, transaction platforms, cloud environments, and identity services, providing compliance teams with visibility into access events and anomalous behavior relevant to financial crime risks. Teams can investigate suspicious activities and generate documentation for MASAK disclosures.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compliance reports covering MASAK-relevant IT controls including access to financial records, user authentication logs, and transaction system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financial system access and detect unusual data queries, exports, or privileged actions that may indicate financial crime facilitation.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AML/CFT-relevant security events such as unauthorized access to customer financial data and suspicious privilege escalations.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 evidence in PDF and CSV formats for MASAK reporting, internal AML compliance officer records, and supervisory authority submissions.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MASAK Compliance </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e92c3faf-c6b9-c7db-df88-c662642e1a51" w:fontKey="{00000000-0000-0000-0000-000000000000}" w:subsetted="0"/>
  </w:font>
  <w:font w:name="Caladea Regular">
    <w:embedRegular xmlns:r="http://schemas.openxmlformats.org/officeDocument/2006/relationships" r:id="rId485a81e8-cb24-e50e-ecd9-05d06680a18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3">
    <w:name w:val="List 3"/>
    <w:uiPriority w:val="1"/>
    <w:basedOn w:val="Normal"/>
    <w:next w:val="List3"/>
    <w:pPr>
      <w:widowControl w:val="1"/>
      <w:ind w:left="108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e92c3faf-c6b9-c7db-df88-c662642e1a51" Target="fonts/ArimoRegular.ttf" Type="http://schemas.openxmlformats.org/officeDocument/2006/relationships/font"/><Relationship Id="rId485a81e8-cb24-e50e-ecd9-05d06680a18b"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