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BAIT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BaFin's requirements for banks with comprehensive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BAIT (BaFin Supervisory Requirements for IT in Banks) Compliance extension for Log360 helps German credit institutions meet BaFin's requirements for IT governance, access management, IT operations security, and incident management as defined in BAIT.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 data from banking applications, core systems, cloud platforms, and network infrastructure, providing continuous monitoring of IT security events. Compliance and IT security teams can track user access, detect anomalies, and generate the audit-ready evidence required for BaFin inspections and internal IT audits.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BAIT compliance reports covering IT operations security, identity and access management, and security incident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privileged user activities, system configuration changes, and access to critical banking applications in real time.</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shd w:fill="auto" w:val="clear" w:color="auto"/>
          <w:vertAlign w:val="baseline"/>
        </w:rPr>
        <w:t xml:space="preserve">Continuously correlate security events across your IT environment to detect suspicious activity and policy violations aligned with BAIT incident detection and response obligations.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 evidence in PDF and CSV formats for BaFin supervisory examinations and internal IT risk committee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BAIT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0d02916b-0010-767e-ff8a-e2ef64aef857" w:fontKey="{00000000-0000-0000-0000-000000000000}" w:subsetted="0"/>
  </w:font>
  <w:font w:name="Caladea Regular">
    <w:embedRegular xmlns:r="http://schemas.openxmlformats.org/officeDocument/2006/relationships" r:id="rId4ab5f06e-d1f6-57a2-04dd-879a7a68e29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5074190">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1028712">
    <w:abstractNumId w:val="3507419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BodyText">
    <w:name w:val="Body Text"/>
    <w:uiPriority w:val="1"/>
    <w:basedOn w:val="Normal"/>
    <w:next w:val="BodyText"/>
    <w:pPr>
      <w:spacing w:after="120.0"/>
      <w:widowControl w:val="1"/>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2">
    <w:name w:val="List 2"/>
    <w:uiPriority w:val="1"/>
    <w:basedOn w:val="Normal"/>
    <w:next w:val="List2"/>
    <w:pPr>
      <w:widowControl w:val="1"/>
      <w:ind w:left="720" w:hanging="360"/>
    </w:pPr>
    <w:rPr/>
    <w:unhideWhenUsed/>
    <w:qFormat/>
  </w:style>
  <w:style w:type="paragraph" w:styleId="TOCHeading">
    <w:name w:val="TOC Heading"/>
    <w:uiPriority w:val="1"/>
    <w:basedOn w:val="Heading1"/>
    <w:next w:val="Normal"/>
    <w:pPr>
      <w:widowControl w:val="1"/>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d02916b-0010-767e-ff8a-e2ef64aef857" Target="fonts/ArimoRegular.ttf" Type="http://schemas.openxmlformats.org/officeDocument/2006/relationships/font"/><Relationship Id="rId4ab5f06e-d1f6-57a2-04dd-879a7a68e293"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