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Swiss CySec Rail Directive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 </w:t>
      </w:r>
      <w:r w:rsidR="00000000" w:rsidDel="00000000" w:rsidRPr="00000000">
        <w:rPr/>
        <w:t xml:space="preserve">Meet CySec cybersecurity requirements with continuous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Swiss CySec Rail Directive Compliance extension for Log360 helps Swiss railway operators and rail infrastructure managers meet the cybersecurity monitoring, incident response, and resilience obligations under Switzerland's CySec Rail Directive.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and correlates logs from operational technology, signaling systems, IT environments, and access control platforms, providing security teams with visibility into cyber threats targeting rail operations. Compliance teams can detect incidents, maintain forensic audit trails, and generate reports for BAV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mapped to CySec Rail Directive requirements covering access control, operational technology monitoring, and cybersecurity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rail OT environments and IT systems for unauthorized access, anomalous commands, and configuration changes that may impact rail safety and operations.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preconfigured correlation rules and threat intelligence to detect advanced threats targeting railway control systems and passenger data.</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BAV supervisory reporting and internal rail cybersecurity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CySec Rail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14ad068-fd54-90ac-caeb-60e3c9b6b930" w:fontKey="{00000000-0000-0000-0000-000000000000}" w:subsetted="0"/>
  </w:font>
  <w:font w:name="Caladea Regular">
    <w:embedRegular xmlns:r="http://schemas.openxmlformats.org/officeDocument/2006/relationships" r:id="rId77a3f04a-0be7-96d9-97c4-9c3484c82cf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3">
    <w:name w:val="List Continue 3"/>
    <w:uiPriority w:val="1"/>
    <w:basedOn w:val="Normal"/>
    <w:next w:val="ListContinue3"/>
    <w:pPr>
      <w:spacing w:after="120.0"/>
      <w:widowControl w:val="1"/>
      <w:ind w:left="108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2">
    <w:name w:val="List 2"/>
    <w:uiPriority w:val="1"/>
    <w:basedOn w:val="Normal"/>
    <w:next w:val="List2"/>
    <w:pPr>
      <w:widowControl w:val="1"/>
      <w:ind w:left="72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3">
    <w:name w:val="List 3"/>
    <w:uiPriority w:val="1"/>
    <w:basedOn w:val="Normal"/>
    <w:next w:val="List3"/>
    <w:pPr>
      <w:widowControl w:val="1"/>
      <w:ind w:left="108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14ad068-fd54-90ac-caeb-60e3c9b6b930" Target="fonts/ArimoRegular.ttf" Type="http://schemas.openxmlformats.org/officeDocument/2006/relationships/font"/><Relationship Id="rId77a3f04a-0be7-96d9-97c4-9c3484c82cf6"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