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Turkish Cybersecurity Law No 7545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Align with Turkey's cybersecurity legislation using incident reporting capabilities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Turkish Cybersecurity Law No. 7545 (2025) Compliance extension for Log360 helps Turkish organizations subject to the new national cybersecurity law meet its requirements for security monitoring, incident reporting, and data protection.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IT systems, cloud platforms, network devices, and identity services, providing continuous visibility into security events. Compliance and security teams can detect incidents within the mandatory reporting windows, maintain audit trails, and generate documentation to demonstrate compliance to the Turkish National Cyber Incidents Response Centre (USOM) and the Information and Communication Technologies Authority (BTK).</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audit reports aligned to Turkish Cybersecurity Law 7545 requirements covering access control, incident detection, and network security monitoring.</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spacing w:val="0"/>
          <w:vertAlign w:val="baseline"/>
        </w:rPr>
        <w:t xml:space="preserve">Detect and classify cyber threats in real time with automated incident severity assessment and notification.</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privileged user activities, authentication events, and critical system changes across Turkish regulated organizations.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documentation in PDF and CSV formats for BTK and USOM regulatory submissions and internal governance reporting.</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6208899" cy="2852737"/>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208899" cy="2852737"/>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Cyber Law 7545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3b17e1c9-6a84-2596-0a60-83012fa6fec8" w:fontKey="{00000000-0000-0000-0000-000000000000}" w:subsetted="0"/>
  </w:font>
  <w:font w:name="Caladea Regular">
    <w:embedRegular xmlns:r="http://schemas.openxmlformats.org/officeDocument/2006/relationships" r:id="rIde93e5a22-bd97-11b9-643d-740ba7b3ca85"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
    <w:name w:val="List"/>
    <w:uiPriority w:val="1"/>
    <w:basedOn w:val="Normal"/>
    <w:next w:val="List"/>
    <w:pPr>
      <w:widowControl w:val="1"/>
      <w:ind w:left="36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List3">
    <w:name w:val="List 3"/>
    <w:uiPriority w:val="1"/>
    <w:basedOn w:val="Normal"/>
    <w:next w:val="List3"/>
    <w:pPr>
      <w:widowControl w:val="1"/>
      <w:ind w:left="1080" w:hanging="360"/>
    </w:pPr>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BodyText">
    <w:name w:val="Body Text"/>
    <w:uiPriority w:val="1"/>
    <w:basedOn w:val="Normal"/>
    <w:next w:val="BodyText"/>
    <w:pPr>
      <w:spacing w:after="120.0"/>
      <w:widowControl w:val="1"/>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2">
    <w:name w:val="List 2"/>
    <w:uiPriority w:val="1"/>
    <w:basedOn w:val="Normal"/>
    <w:next w:val="List2"/>
    <w:pPr>
      <w:widowControl w:val="1"/>
      <w:ind w:left="72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paragraph" w:styleId="TOCHeading">
    <w:name w:val="TOC Heading"/>
    <w:uiPriority w:val="1"/>
    <w:basedOn w:val="Heading1"/>
    <w:next w:val="Normal"/>
    <w:pPr>
      <w:widowControl w:val="1"/>
    </w:pPr>
    <w:rPr/>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3b17e1c9-6a84-2596-0a60-83012fa6fec8" Target="fonts/ArimoRegular.ttf" Type="http://schemas.openxmlformats.org/officeDocument/2006/relationships/font" /><Relationship Id="rIde93e5a22-bd97-11b9-643d-740ba7b3ca85"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