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BSI KritisV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Ensure healthcare security and BSI KritisV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Germany</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Critical Infrastructure, Healthcare,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BSI KritisV compliance extension in Log360 helps organizations meet BSI-KritisV, Germany's Critical Infrastructure Regulation mandating security requirements for operators across energy, water, healthcare, finance, and IT sectors under the BSI Act by providing centralized log management, real-time threat detection, and comprehensive audit trail generation. The platform supports BSI KritisV requirements for incident detection and BSI reporting, access control, privileged account oversight, network security, audit logging, vulnerability management, and business continuity monitoring.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IT Security Incident Detection and BSI Reporting, Log360 provides real-time threat detection through correlated endpoint, network, and application log analysis, enabling timely identification of incidents requiring mandatory regulatory reporting. To address Access Control for Critical Systems, the platform monitors authentication events, failed logon attempts, and Active Directory access patterns across Windows, Unix, and network device environments. The extension also supports Privileged Account Oversight by providing capabilities that tracks administrative account modifications, user group changes, SUDO command usage, and password policy enforcement across critical system environments.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Segmentation Monitoring: </w:t>
      </w:r>
      <w:r w:rsidR="00000000" w:rsidDel="00000000" w:rsidRPr="00000000">
        <w:rPr>
          <w:rFonts w:ascii="Arial" w:eastAsia="Arial" w:hAnsi="Arial" w:cs="Arial"/>
          <w:sz w:val="22.0"/>
        </w:rPr>
        <w:t xml:space="preserve">Log360 captures firewall policy changes, network device configuration modifications, attack attempts, and traffic anomalies across critical network segments.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Logging and Log Integrity: </w:t>
      </w:r>
      <w:r w:rsidR="00000000" w:rsidDel="00000000" w:rsidRPr="00000000">
        <w:rPr>
          <w:rFonts w:ascii="Arial" w:eastAsia="Arial" w:hAnsi="Arial" w:cs="Arial"/>
          <w:sz w:val="22.0"/>
        </w:rPr>
        <w:t xml:space="preserve">Log360 centralizes Windows event logs, process tracking records, policy change events, and GPO audit data to support regulatory examination and forensics.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mo Regular" w:eastAsia="Arimo Regular" w:hAnsi="Arimo Regular" w:cs="Arimo Regular"/>
          <w:i w:val="false"/>
          <w:strike w:val="false"/>
          <w:color w:val="000000"/>
          <w:spacing w:val="0"/>
          <w:sz w:val="22.0"/>
          <w:u w:val="none"/>
          <w:shd w:fill="auto" w:val="clear" w:color="auto"/>
          <w:vertAlign w:val="baseline"/>
        </w:rPr>
        <w:t xml:space="preserve">Threat-Led Vulnerability Management and Reporting Support:</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 Log360 transforms raw scan data into actionable insights by mapping identified vulnerabilities against global threat intelligence, ensuring that security gaps in critical systems are prioritized and addressed in accordance with BSI security standards.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Business Continuity and Data Integrity Monitoring: </w:t>
      </w:r>
      <w:r w:rsidR="00000000" w:rsidDel="00000000" w:rsidRPr="00000000">
        <w:rPr>
          <w:rFonts w:ascii="Arial" w:eastAsia="Arial" w:hAnsi="Arial" w:cs="Arial"/>
          <w:sz w:val="22.0"/>
        </w:rPr>
        <w:t xml:space="preserve">Log360 monitors backup job completion, disaster recovery infrastructure health, backup policy enforcement, and file integrity to detect threats to business continuity of critical infrastructure operators.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BSI KritisV.</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3d0956e-0df6-7299-fb32-9a518b8daa55" w:fontKey="{00000000-0000-0000-0000-000000000000}" w:subsetted="0"/>
  </w:font>
  <w:font w:name="Arimo Regular">
    <w:embedRegular xmlns:r="http://schemas.openxmlformats.org/officeDocument/2006/relationships" r:id="rIdf6c8d4ca-d0af-8d3e-3574-4bfd70adbc1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Strong">
    <w:name w:val="Strong"/>
    <w:uiPriority w:val="1"/>
    <w:basedOn w:val="Normal"/>
    <w:next w:val="Normal"/>
    <w:pPr>
      <w:widowControl w:val="1"/>
    </w:pPr>
    <w:rPr>
      <w:b w:val="true"/>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3d0956e-0df6-7299-fb32-9a518b8daa55" Target="fonts/Roboto.ttf" Type="http://schemas.openxmlformats.org/officeDocument/2006/relationships/font"/><Relationship Id="rIdf6c8d4ca-d0af-8d3e-3574-4bfd70adbc12"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