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NIST SSDF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cybersecurity and meet NIST SSDF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USA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Government/Public Sector, Industry Standard</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NIST SSDF compliance extension in Log360 helps organizations meet NIST SP 800-218 Secure Software Development Framework (SSDF) v1.1, the NIST framework referenced in US Executive Order 14028 mandating secure development practices for software producers serving federal agencies by providing centralized log management, development environment monitoring, and vulnerability tracking. The platform supports NIST SSDF requirements for secure development policy governance, environment protection, source code integrity, configuration security, vulnerability identification, remediation tracking, and root cause analysis.</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PO.1: Establish Secure Development Policies, Log360 monitors policy change events, GPO updates, user account management, and group administration activities to track policy compliance and governance. To address PO.3: Secure Development Environment, the platform monitors logon events, failed authentication, and SUDO commands on development servers to detect unauthorized access to build infrastructure. The extension also supports PS.1: Protect Source Code and Build Artifacts by providing capabilities that monitors file change events, registry modifications, USB storage activity, and cloud file uploads on development systems to detect code tampering or theft.</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PS.3: Archive and Protect Software Releases: </w:t>
      </w:r>
      <w:r w:rsidR="00000000" w:rsidDel="00000000" w:rsidRPr="00000000">
        <w:rPr>
          <w:rFonts w:ascii="Arial" w:eastAsia="Arial" w:hAnsi="Arial" w:cs="Arial"/>
          <w:sz w:val="22.0"/>
        </w:rPr>
        <w:t xml:space="preserve">Log360 monitors cloud storage activities, backup operations, and file access events to track release archive integrity and detect unauthorized modifications.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PW.6: Secure Software Configuration: </w:t>
      </w:r>
      <w:r w:rsidR="00000000" w:rsidDel="00000000" w:rsidRPr="00000000">
        <w:rPr>
          <w:rFonts w:ascii="Arial" w:eastAsia="Arial" w:hAnsi="Arial" w:cs="Arial"/>
          <w:sz w:val="22.0"/>
        </w:rPr>
        <w:t xml:space="preserve">Log360 monitors network device configuration changes, policy updates, registry modifications, and software update events to identify unauthorized configuration changes.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RV.2: Assess and Remediate Vulnerabilities: </w:t>
      </w:r>
      <w:r w:rsidR="00000000" w:rsidDel="00000000" w:rsidRPr="00000000">
        <w:rPr>
          <w:rFonts w:ascii="Arial" w:eastAsia="Arial" w:hAnsi="Arial" w:cs="Arial"/>
          <w:sz w:val="22.0"/>
        </w:rPr>
        <w:t xml:space="preserve">Log360 monitors patch deployment events, software update activities, system configuration changes, and process execution logs to verify remediation progress.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mo Regular" w:eastAsia="Arimo Regular" w:hAnsi="Arimo Regular" w:cs="Arimo Regular"/>
          <w:i w:val="false"/>
          <w:strike w:val="false"/>
          <w:color w:val="000000"/>
          <w:spacing w:val="0"/>
          <w:sz w:val="22.0"/>
          <w:u w:val="none"/>
          <w:shd w:fill="auto" w:val="clear" w:color="auto"/>
          <w:vertAlign w:val="baseline"/>
        </w:rPr>
        <w:t xml:space="preserve">RV.3: Root Cause Analysis and Post-Incident Feedback:</w:t>
      </w:r>
      <w:r w:rsidR="00000000" w:rsidDel="00000000" w:rsidRPr="00000000">
        <w:rPr>
          <w:b w:val="false"/>
          <w:rFonts w:ascii="Arimo Regular" w:eastAsia="Arimo Regular" w:hAnsi="Arimo Regular" w:cs="Arimo Regular"/>
          <w:i w:val="false"/>
          <w:strike w:val="false"/>
          <w:color w:val="000000"/>
          <w:spacing w:val="0"/>
          <w:sz w:val="24.0"/>
          <w:u w:val="none"/>
          <w:shd w:fill="auto" w:val="clear" w:color="auto"/>
          <w:vertAlign w:val="baseline"/>
        </w:rPr>
        <w:t xml:space="preserve"> Log360 provides deep forensic visibility and event correlation across the development lifecycle, enabling security teams to identify the root causes of vulnerabilities and integrate those findings back into the secure build process.</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NIST SSDF.</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c8798c44-3ecc-1ac7-d063-6f03e7a28e7b" w:fontKey="{00000000-0000-0000-0000-000000000000}" w:subsetted="0"/>
  </w:font>
  <w:font w:name="Arimo Regular">
    <w:embedRegular xmlns:r="http://schemas.openxmlformats.org/officeDocument/2006/relationships" r:id="rId82da81e3-a255-8cea-b994-24508e521147"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91983710">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 w:numId="75020118">
    <w:abstractNumId w:val="9198371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endnotetext">
    <w:name w:val="endnote text"/>
    <w:uiPriority w:val="1"/>
    <w:basedOn w:val="Normal"/>
    <w:next w:val="endnotetext"/>
    <w:pPr>
      <w:spacing w:line="240.0" w:lineRule="auto" w:after="0.0"/>
      <w:widowControl w:val="1"/>
    </w:pPr>
    <w:rPr>
      <w:sz w:val="20"/>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Strong">
    <w:name w:val="Strong"/>
    <w:uiPriority w:val="1"/>
    <w:basedOn w:val="Normal"/>
    <w:next w:val="Normal"/>
    <w:pPr>
      <w:widowControl w:val="1"/>
    </w:pPr>
    <w:rPr>
      <w:b w:val="true"/>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c8798c44-3ecc-1ac7-d063-6f03e7a28e7b" Target="fonts/Roboto.ttf" Type="http://schemas.openxmlformats.org/officeDocument/2006/relationships/font"/><Relationship Id="rId82da81e3-a255-8cea-b994-24508e521147" Target="fonts/Arimo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