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3864"/>
          <w:sz w:val="36.0"/>
        </w:rPr>
        <w:t xml:space="preserve">SEBI-CSCRF Compliance for Log360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widowControl w:val="1"/>
      </w:pPr>
      <w:r w:rsidR="00000000" w:rsidDel="00000000" w:rsidRPr="00000000">
        <w:rPr>
          <w:rFonts w:ascii="Arial" w:eastAsia="Arial" w:hAnsi="Arial" w:cs="Arial"/>
          <w:i w:val="true"/>
          <w:color w:val="444444"/>
          <w:sz w:val="22.0"/>
        </w:rPr>
        <w:t xml:space="preserve">Ensure operational resilience and SEBI-CSCRF compliance with Log360.</w:t>
      </w:r>
    </w:p>
    <w:p xmlns:w14="http://schemas.microsoft.com/office/word/2010/wordml" w:rsidR="00000000" w:rsidRDefault="00000000" w14:textId="00000000" w:rsidDel="00000000" w:rsidP="00000000" w:rsidRPr="00000000">
      <w:pPr>
        <w:spacing w:after="200.0"/>
        <w:pBdr>
          <w:bottom w:val="single" w:color="2E75B6" w:sz="6" w:space="1"/>
        </w:pBdr>
        <w:widowControl w:val="1"/>
      </w:pP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Region: </w:t>
      </w:r>
      <w:r w:rsidR="00000000" w:rsidDel="00000000" w:rsidRPr="00000000">
        <w:rPr>
          <w:rFonts w:ascii="Arial" w:eastAsia="Arial" w:hAnsi="Arial" w:cs="Arial"/>
          <w:sz w:val="22.0"/>
        </w:rPr>
        <w:t xml:space="preserve">India</w:t>
      </w: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  |  Type: </w:t>
      </w:r>
      <w:r w:rsidR="00000000" w:rsidDel="00000000" w:rsidRPr="00000000">
        <w:rPr>
          <w:rFonts w:ascii="Arial" w:eastAsia="Arial" w:hAnsi="Arial" w:cs="Arial"/>
          <w:sz w:val="22.0"/>
        </w:rPr>
        <w:t xml:space="preserve">Incident Management, Operational Resilience</w:t>
      </w: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  |  Category: </w:t>
      </w:r>
      <w:r w:rsidR="00000000" w:rsidDel="00000000" w:rsidRPr="00000000">
        <w:rPr>
          <w:rFonts w:ascii="Arial" w:eastAsia="Arial" w:hAnsi="Arial" w:cs="Arial"/>
          <w:sz w:val="22.0"/>
        </w:rPr>
        <w:t xml:space="preserve">Compliance</w:t>
      </w: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  |  Pricing: </w:t>
      </w:r>
      <w:r w:rsidR="00000000" w:rsidDel="00000000" w:rsidRPr="00000000">
        <w:rPr>
          <w:rFonts w:ascii="Arial" w:eastAsia="Arial" w:hAnsi="Arial" w:cs="Arial"/>
          <w:sz w:val="22.0"/>
        </w:rPr>
        <w:t xml:space="preserve">Free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5B6"/>
          <w:sz w:val="26.0"/>
        </w:rPr>
        <w:t xml:space="preserve">Overview</w:t>
      </w:r>
    </w:p>
    <w:p xmlns:w14="http://schemas.microsoft.com/office/word/2010/wordml" w:rsidR="00000000" w:rsidRDefault="00000000" w14:textId="00000000" w:rsidDel="00000000" w:rsidP="00000000" w:rsidRPr="00000000">
      <w:pPr>
        <w:spacing w:after="160.0"/>
        <w:widowControl w:val="1"/>
      </w:pPr>
      <w:r w:rsidR="00000000" w:rsidDel="00000000" w:rsidRPr="00000000">
        <w:rPr>
          <w:rFonts w:ascii="Arial" w:eastAsia="Arial" w:hAnsi="Arial" w:cs="Arial"/>
          <w:sz w:val="22.0"/>
        </w:rPr>
        <w:t xml:space="preserve">The SEBI-CSCRF compliance extension in Log360 helps organizations meet the SEBI Cybersecurity and Cyber Resilience Framework (CSCRF, August 2024), India's mandatory framework for all SEBI-regulated entities built on five resiliency goals measured by a Cyber Capability Index by providing centralized log management, real-time threat detection, and incident response support. The platform supports SEBI-CSCRF requirements for risk anticipation, identity and access management, network protection, threat containment, incident response, business continuity and disaster recovery, continuous monitoring, and governance.</w:t>
      </w:r>
    </w:p>
    <w:p xmlns:w14="http://schemas.microsoft.com/office/word/2010/wordml" w:rsidR="00000000" w:rsidRDefault="00000000" w14:textId="00000000" w:rsidDel="00000000" w:rsidP="00000000" w:rsidRPr="00000000">
      <w:pPr>
        <w:spacing w:after="160.0"/>
        <w:widowControl w:val="1"/>
      </w:pPr>
      <w:r w:rsidR="00000000" w:rsidDel="00000000" w:rsidRPr="00000000">
        <w:rPr>
          <w:rFonts w:ascii="Arial" w:eastAsia="Arial" w:hAnsi="Arial" w:cs="Arial"/>
          <w:sz w:val="22.0"/>
        </w:rPr>
        <w:t xml:space="preserve">To address Withstand — Identity and Access Management, the platform monitors AD logon, Windows and Unix authentication, SUDO commands, and MFA events. The extension also supports Withstand — Network and System Protection by providing capabilities that monitors network device rules, firewall security events, policy changes, network attacks, and device configuration modifications.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5B6"/>
          <w:sz w:val="26.0"/>
        </w:rPr>
        <w:t xml:space="preserve">Key Features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numPr>
          <w:ilvl w:val="0"/>
          <w:numId w:val="2"/>
        </w:numPr>
        <w:widowControl w:val="1"/>
      </w:pP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Contain — Threat Detection and Incident Response: </w:t>
      </w:r>
      <w:r w:rsidR="00000000" w:rsidDel="00000000" w:rsidRPr="00000000">
        <w:rPr>
          <w:rFonts w:ascii="Arial" w:eastAsia="Arial" w:hAnsi="Arial" w:cs="Arial"/>
          <w:sz w:val="22.0"/>
        </w:rPr>
        <w:t xml:space="preserve">Log360 correlates Windows and Unix threat detection, FireEye, Trend Micro, antivirus, Entra ID risky sign-ins, and network attack reports for rapid containment.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numPr>
          <w:ilvl w:val="0"/>
          <w:numId w:val="2"/>
        </w:numPr>
        <w:widowControl w:val="1"/>
      </w:pP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Recover — Business Continuity and Disaster Recovery: </w:t>
      </w:r>
      <w:r w:rsidR="00000000" w:rsidDel="00000000" w:rsidRPr="00000000">
        <w:rPr>
          <w:rFonts w:ascii="Arial" w:eastAsia="Arial" w:hAnsi="Arial" w:cs="Arial"/>
          <w:sz w:val="22.0"/>
        </w:rPr>
        <w:t xml:space="preserve">Log360 monitors backup and disaster recovery infrastructure, job status, malware detection, IAM events, and Windows restore activities to validate continuity readiness.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numPr>
          <w:ilvl w:val="0"/>
          <w:numId w:val="2"/>
        </w:numPr>
        <w:widowControl w:val="1"/>
      </w:pP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Evolve — Continuous Monitoring and Audit: </w:t>
      </w:r>
      <w:r w:rsidR="00000000" w:rsidDel="00000000" w:rsidRPr="00000000">
        <w:rPr>
          <w:rFonts w:ascii="Arial" w:eastAsia="Arial" w:hAnsi="Arial" w:cs="Arial"/>
          <w:sz w:val="22.0"/>
        </w:rPr>
        <w:t xml:space="preserve">Log360 centralizes EventLog, GPO auditing, system events, policy changes, database audit, and user auditing records for ongoing compliance review.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numPr>
          <w:ilvl w:val="0"/>
          <w:numId w:val="2"/>
        </w:numPr>
        <w:widowControl w:val="1"/>
      </w:pP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Governance and Cyber Capability Index: </w:t>
      </w:r>
      <w:r w:rsidR="00000000" w:rsidDel="00000000" w:rsidRPr="00000000">
        <w:rPr>
          <w:rFonts w:ascii="Arial" w:eastAsia="Arial" w:hAnsi="Arial" w:cs="Arial"/>
          <w:sz w:val="22.0"/>
        </w:rPr>
        <w:t xml:space="preserve">Log360 tracks password policy compliance, user and group auditing, GPO changes, and policy modifications to demonstrate governance maturity.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1714500" cy="17145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7336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667500" cy="37528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528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667500" cy="37528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528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667500" cy="37528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528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667500" cy="37528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528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Valid Submission : Yes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Supported Editions : Free, Basic, Standard, Professional, MSSP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Help Document : https://www.manageengine.com/log-management/help/integrations/compliance-extensions.html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Help Video : Not provided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Tags : Log360, Compliance, Privacy monitoring, Data privacy, Regulatory compliance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Supported DCs : US, IN, JP, CA, AU, UK and EU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Privacy Policy: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Terms of Service: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Release Notes: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Predefined reports for the SEBI-CSCRF.</w:t>
      </w:r>
    </w:p>
    <w:sectPr>
      <w:headerReference xmlns:r="http://schemas.openxmlformats.org/officeDocument/2006/relationships" r:id="rId12" w:type="default"/>
      <w:footerReference xmlns:r="http://schemas.openxmlformats.org/officeDocument/2006/relationships" r:id="rId13" w:type="default"/>
      <w:type w:val="nextPage"/>
      <w:pgSz w:w="12240" w:orient="portrait" w:h="15840"/>
      <w:pgMar w:header="708" w:bottom="1440" w:left="1440" w:right="1440" w:top="1440" w:footer="708" w:gutter="0"/>
      <w:pgNumType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400eaa93-68f2-1620-5a2a-b3a046178485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■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■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●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2">
    <w:lvl w:ilvl="0">
      <w:start w:val="1"/>
      <w:numFmt w:val="bullet"/>
      <w:lvlText w:val="•"/>
      <w:lvlJc w:val="left"/>
      <w:pPr>
        <w:widowControl w:val="1"/>
        <w:ind w:left="720" w:hanging="360"/>
      </w:pPr>
    </w:lvl>
    <w:lvl w:ilvl="1">
      <w:start w:val="1"/>
      <w:numFmt w:val="decimal"/>
      <w:lvlText w:val="%2."/>
      <w:lvlJc w:val="left"/>
      <w:pPr>
        <w:widowControl w:val="1"/>
      </w:pPr>
    </w:lvl>
    <w:lvl w:ilvl="2">
      <w:start w:val="1"/>
      <w:numFmt w:val="decimal"/>
      <w:lvlText w:val="%3."/>
      <w:lvlJc w:val="left"/>
      <w:pPr>
        <w:widowControl w:val="1"/>
      </w:pPr>
    </w:lvl>
    <w:lvl w:ilvl="3">
      <w:start w:val="1"/>
      <w:numFmt w:val="decimal"/>
      <w:lvlText w:val="%4."/>
      <w:lvlJc w:val="left"/>
      <w:pPr>
        <w:widowControl w:val="1"/>
      </w:pPr>
    </w:lvl>
    <w:lvl w:ilvl="4">
      <w:start w:val="1"/>
      <w:numFmt w:val="decimal"/>
      <w:lvlText w:val="%5."/>
      <w:lvlJc w:val="left"/>
      <w:pPr>
        <w:widowControl w:val="1"/>
      </w:pPr>
    </w:lvl>
    <w:lvl w:ilvl="5">
      <w:start w:val="1"/>
      <w:numFmt w:val="decimal"/>
      <w:lvlText w:val="%6."/>
      <w:lvlJc w:val="left"/>
      <w:pPr>
        <w:widowControl w:val="1"/>
      </w:pPr>
    </w:lvl>
    <w:lvl w:ilvl="6">
      <w:start w:val="1"/>
      <w:numFmt w:val="decimal"/>
      <w:lvlText w:val="%7."/>
      <w:lvlJc w:val="left"/>
      <w:pPr>
        <w:widowControl w:val="1"/>
      </w:pPr>
    </w:lvl>
    <w:lvl w:ilvl="7">
      <w:start w:val="1"/>
      <w:numFmt w:val="decimal"/>
      <w:lvlText w:val="%8."/>
      <w:lvlJc w:val="left"/>
      <w:pPr>
        <w:widowControl w:val="1"/>
      </w:pPr>
    </w:lvl>
    <w:lvl w:ilvl="8">
      <w:start w:val="1"/>
      <w:numFmt w:val="decimal"/>
      <w:lvlText w:val="%9."/>
      <w:lvlJc w:val="left"/>
      <w:pPr>
        <w:widowControl w:val="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styleId="Strong">
    <w:name w:val="Strong"/>
    <w:uiPriority w:val="1"/>
    <w:basedOn w:val="Normal"/>
    <w:next w:val="Normal"/>
    <w:pPr>
      <w:widowControl w:val="1"/>
    </w:pPr>
    <w:rPr>
      <w:b w:val="true"/>
    </w:rPr>
    <w:unhideWhenUsed/>
    <w:qFormat/>
  </w:style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spacing w:after="120.0" w:before="240.0"/>
      <w:widowControl w:val="1"/>
    </w:pPr>
    <w:rPr>
      <w:b w:val="true"/>
      <w:rFonts w:ascii="Arial" w:eastAsia="Arial" w:hAnsi="Arial" w:cs="Arial"/>
      <w:color w:val="1F3864"/>
      <w:sz w:val="36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spacing w:after="100.0" w:before="200.0"/>
      <w:widowControl w:val="1"/>
    </w:pPr>
    <w:rPr>
      <w:b w:val="true"/>
      <w:rFonts w:ascii="Arial" w:eastAsia="Arial" w:hAnsi="Arial" w:cs="Arial"/>
      <w:color w:val="2E75B6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widowControl w:val="1"/>
    </w:pPr>
    <w:rPr>
      <w:color w:val="1F4D78"/>
      <w:sz w:val="24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widowControl w:val="1"/>
    </w:pPr>
    <w:rPr>
      <w:i w:val="true"/>
      <w:color w:val="2E74B5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widowControl w:val="1"/>
    </w:pPr>
    <w:rPr>
      <w:color w:val="2E74B5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widowControl w:val="1"/>
    </w:pPr>
    <w:rPr>
      <w:color w:val="1F4D78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="Roboto" w:eastAsia="Roboto" w:hAnsi="Roboto" w:cs="Roboto"/>
      <w:i w:val="true"/>
      <w:color w:val="447DE2" w:themeColor="accent1" w:themeShade="7F"/>
      <w:sz w:val="20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="Roboto" w:eastAsia="Roboto" w:hAnsi="Roboto" w:cs="Roboto"/>
      <w:color w:val="26543D" w:themeColor="dark2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="Roboto" w:eastAsia="Roboto" w:hAnsi="Roboto" w:cs="Roboto"/>
      <w:i w:val="true"/>
      <w:color w:val="26543D" w:themeColor="dark2"/>
      <w:sz w:val="20"/>
    </w:rPr>
    <w:aliases w:val="Heading 9"/>
    <w:unhideWhenUsed/>
    <w:qFormat/>
  </w:style>
  <w:style w:type="paragraph" w:styleId="footnotetext">
    <w:name w:val="footnote text"/>
    <w:uiPriority w:val="1"/>
    <w:basedOn w:val="Normal"/>
    <w:next w:val="footnotetext"/>
    <w:pPr>
      <w:spacing w:line="240.0" w:lineRule="auto" w:after="0.0"/>
      <w:widowControl w:val="1"/>
    </w:pPr>
    <w:rPr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widowControl w:val="1"/>
    </w:pPr>
    <w:rPr>
      <w:sz w:val="56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="Roboto" w:eastAsia="Roboto" w:hAnsi="Roboto" w:cs="Roboto"/>
      <w:i w:val="true"/>
      <w:color w:val="404040"/>
      <w:sz w:val="24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none" w:color="000000" w:sz="0" w:space="7"/>
        <w:left w:val="single" w:color="447DE2" w:themeColor="accent1" w:themeShade="BF" w:sz="24" w:space="7"/>
        <w:bottom w:val="none" w:color="000000" w:sz="0" w:space="7"/>
      </w:pBdr>
      <w:jc w:val="left"/>
      <w:widowControl w:val="1"/>
    </w:pPr>
    <w:rPr>
      <w:rFonts w:ascii="Roboto" w:eastAsia="Roboto" w:hAnsi="Roboto" w:cs="Roboto"/>
      <w:color w:val="000000" w:themeColor="dark1"/>
      <w:sz w:val="24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="Roboto" w:eastAsia="Roboto" w:hAnsi="Roboto" w:cs="Roboto"/>
      <w:color w:val="447DE2" w:themeColor="accent1"/>
      <w:sz w:val="28"/>
    </w:rPr>
    <w:aliases w:val="Intense Quote"/>
    <w:unhideWhenUsed/>
    <w:qFormat/>
  </w:style>
  <w:style w:type="paragraph" w:styleId="endnotetext">
    <w:name w:val="endnote text"/>
    <w:uiPriority w:val="1"/>
    <w:basedOn w:val="Normal"/>
    <w:next w:val="endnotetext"/>
    <w:pPr>
      <w:spacing w:line="240.0" w:lineRule="auto" w:after="0.0"/>
      <w:widowControl w:val="1"/>
    </w:pPr>
    <w:rPr>
      <w:sz w:val="20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aliases w:val="No Spacing"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Roboto" w:eastAsia="Roboto" w:hAnsi="Roboto" w:cs="Roboto"/>
      <w:i w:val="true"/>
      <w:color w:val="000000" w:themeColor="dark1"/>
      <w:sz w:val="28"/>
    </w:rPr>
    <w:aliases w:val="Heading 4 Char"/>
    <w:unhideWhenUsed/>
    <w:qFormat/>
  </w:style>
  <w:style w:type="character" w:styleId="FootnoteTextChar">
    <w:name w:val="Footnote Text Char"/>
    <w:uiPriority w:val="1"/>
    <w:basedOn w:val="DefaultParagraphFont"/>
    <w:rPr>
      <w:sz w:val="20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="Roboto" w:eastAsia="Roboto" w:hAnsi="Roboto" w:cs="Roboto"/>
      <w:i w:val="true"/>
      <w:color w:val="26543D" w:themeColor="dark2"/>
      <w:sz w:val="20"/>
    </w:rPr>
    <w:aliases w:val="Heading 9 Char"/>
    <w:unhideWhenUsed/>
    <w:qFormat/>
  </w:style>
  <w:style w:type="character" w:styleId="endnotereference">
    <w:name w:val="endnote reference"/>
    <w:uiPriority w:val="1"/>
    <w:basedOn w:val="DefaultParagraphFont"/>
    <w:rPr>
      <w:vertAlign w:val="superscript"/>
    </w:rPr>
    <w:unhideWhenUsed/>
    <w:qFormat/>
  </w:style>
  <w:style w:type="character" w:styleId="DefaultParagraphFont">
    <w:name w:val="Default Paragraph Font"/>
    <w:uiPriority w:val="1"/>
    <w:rPr>
      <w:rFonts w:ascii="Roboto" w:eastAsia="Roboto" w:hAnsi="Roboto" w:cs="Roboto"/>
      <w:sz w:val="24"/>
    </w:rPr>
    <w:aliases w:val="Default Paragraph Font"/>
    <w:unhideWhenUsed/>
    <w:qFormat/>
  </w:style>
  <w:style w:type="character" w:styleId="EndnoteTextChar">
    <w:name w:val="Endnote Text Char"/>
    <w:uiPriority w:val="1"/>
    <w:basedOn w:val="DefaultParagraphFont"/>
    <w:rPr>
      <w:sz w:val="20"/>
    </w:rPr>
    <w:unhideWhenUsed/>
    <w:qFormat/>
  </w:style>
  <w:style w:type="character" w:styleId="SubtitleChar">
    <w:name w:val="Subtitle Char"/>
    <w:uiPriority w:val="1"/>
    <w:basedOn w:val="DefaultParagraphFont"/>
    <w:rPr>
      <w:b w:val="true"/>
      <w:rFonts w:ascii="Roboto" w:eastAsia="Roboto" w:hAnsi="Roboto" w:cs="Roboto"/>
      <w:i w:val="true"/>
      <w:color w:val="404040"/>
      <w:sz w:val="24"/>
    </w:rPr>
    <w:aliases w:val="Subtitle Char"/>
    <w:unhideWhenUsed/>
    <w:qFormat/>
  </w:style>
  <w:style w:type="character" w:styleId="Hyperlink">
    <w:name w:val="Hyperlink"/>
    <w:uiPriority w:val="1"/>
    <w:basedOn w:val="DefaultParagraphFont"/>
    <w:rPr>
      <w:color w:val="0563C1"/>
      <w:u w:val="single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Roboto" w:eastAsia="Roboto" w:hAnsi="Roboto" w:cs="Roboto"/>
      <w:color w:val="000000" w:themeColor="dark1"/>
      <w:sz w:val="36"/>
    </w:rPr>
    <w:aliases w:val="Heading 2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="Roboto" w:eastAsia="Roboto" w:hAnsi="Roboto" w:cs="Roboto"/>
      <w:color w:val="26543D" w:themeColor="dark2"/>
      <w:sz w:val="20"/>
    </w:rPr>
    <w:aliases w:val="Heading 8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Roboto" w:eastAsia="Roboto" w:hAnsi="Roboto" w:cs="Roboto"/>
      <w:i w:val="true"/>
      <w:color w:val="000000" w:themeColor="dark1"/>
      <w:sz w:val="22"/>
      <w:u w:val="single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rFonts w:ascii="Roboto" w:eastAsia="Roboto" w:hAnsi="Roboto" w:cs="Roboto"/>
      <w:i w:val="true"/>
      <w:color w:val="000000" w:themeColor="dark1" w:themeTint="3f"/>
      <w:sz w:val="24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rFonts w:ascii="Roboto" w:eastAsia="Roboto" w:hAnsi="Roboto" w:cs="Roboto"/>
      <w:i w:val="true"/>
      <w:sz w:val="24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="Roboto" w:eastAsia="Roboto" w:hAnsi="Roboto" w:cs="Roboto"/>
      <w:i w:val="true"/>
      <w:sz w:val="24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="Roboto" w:eastAsia="Roboto" w:hAnsi="Roboto" w:cs="Roboto"/>
      <w:color w:val="447DE2" w:themeColor="accent1" w:themeShade="BF"/>
      <w:spacing w:val="0"/>
      <w:sz w:val="7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  <w:rFonts w:ascii="Roboto" w:eastAsia="Roboto" w:hAnsi="Roboto" w:cs="Roboto"/>
      <w:sz w:val="24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rFonts w:ascii="Roboto" w:eastAsia="Roboto" w:hAnsi="Roboto" w:cs="Roboto"/>
      <w:color w:val="000000" w:themeColor="dark1" w:themeTint="3f"/>
      <w:sz w:val="24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="Roboto" w:eastAsia="Roboto" w:hAnsi="Roboto" w:cs="Roboto"/>
      <w:spacing w:val="0"/>
      <w:sz w:val="24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rFonts w:ascii="Roboto" w:eastAsia="Roboto" w:hAnsi="Roboto" w:cs="Roboto"/>
      <w:sz w:val="24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Roboto" w:eastAsia="Roboto" w:hAnsi="Roboto" w:cs="Roboto"/>
      <w:i w:val="true"/>
      <w:color w:val="447DE2" w:themeColor="accent1" w:themeShade="7F"/>
      <w:sz w:val="20"/>
    </w:rPr>
    <w:aliases w:val="Heading 7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Roboto" w:eastAsia="Roboto" w:hAnsi="Roboto" w:cs="Roboto"/>
      <w:color w:val="000000" w:themeColor="dark1" w:themeTint="F2"/>
      <w:sz w:val="48"/>
    </w:rPr>
    <w:aliases w:val="Heading 1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Roboto" w:eastAsia="Roboto" w:hAnsi="Roboto" w:cs="Roboto"/>
      <w:color w:val="000000" w:themeColor="dark1"/>
      <w:sz w:val="32"/>
    </w:rPr>
    <w:aliases w:val="Heading 3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Roboto" w:eastAsia="Roboto" w:hAnsi="Roboto" w:cs="Roboto"/>
      <w:color w:val="FFFFFF" w:themeColor="light1"/>
      <w:sz w:val="24"/>
    </w:rPr>
    <w:aliases w:val="Heading 5 Char"/>
    <w:unhideWhenUsed/>
    <w:qFormat/>
  </w:style>
  <w:style w:type="character" w:styleId="footnotereference">
    <w:name w:val="footnote reference"/>
    <w:uiPriority w:val="1"/>
    <w:basedOn w:val="DefaultParagraphFont"/>
    <w:rPr>
      <w:vertAlign w:val="superscript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header1.xml" Type="http://schemas.openxmlformats.org/officeDocument/2006/relationships/header"/><Relationship Id="rId13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400eaa93-68f2-1620-5a2a-b3a046178485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