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Arial" w:eastAsia="Arial" w:hAnsi="Arial" w:cs="Arial"/>
          <w:color w:val="1F3864"/>
          <w:sz w:val="36.0"/>
        </w:rPr>
        <w:t xml:space="preserve">CBUAE Cyber Compliance for Log360</w:t>
      </w:r>
    </w:p>
    <w:p xmlns:w14="http://schemas.microsoft.com/office/word/2010/wordml" w:rsidR="00000000" w:rsidRDefault="00000000" w14:textId="00000000" w:rsidDel="00000000" w:rsidP="00000000" w:rsidRPr="00000000">
      <w:pPr>
        <w:spacing w:after="120.0"/>
        <w:widowControl w:val="1"/>
      </w:pPr>
      <w:r w:rsidR="00000000" w:rsidDel="00000000" w:rsidRPr="00000000">
        <w:rPr>
          <w:rFonts w:ascii="Arial" w:eastAsia="Arial" w:hAnsi="Arial" w:cs="Arial"/>
          <w:i w:val="true"/>
          <w:color w:val="444444"/>
          <w:sz w:val="22.0"/>
        </w:rPr>
        <w:t xml:space="preserve">Automate CBUAE Cyber compliance and fortify cybersecurity resilience for financial institutions.</w:t>
      </w:r>
    </w:p>
    <w:p xmlns:w14="http://schemas.microsoft.com/office/word/2010/wordml" w:rsidR="00000000" w:rsidRDefault="00000000" w14:textId="00000000" w:rsidDel="00000000" w:rsidP="00000000" w:rsidRPr="00000000">
      <w:pPr>
        <w:spacing w:after="200.0"/>
        <w:pBdr>
          <w:bottom w:val="single" w:color="2E75B6" w:sz="6" w:space="1"/>
        </w:pBdr>
        <w:widowControl w:val="1"/>
      </w:pPr>
      <w:r w:rsidR="00000000" w:rsidDel="00000000" w:rsidRPr="00000000">
        <w:rPr>
          <w:b w:val="true"/>
          <w:rFonts w:ascii="Arial" w:eastAsia="Arial" w:hAnsi="Arial" w:cs="Arial"/>
          <w:sz w:val="22.0"/>
        </w:rPr>
        <w:t xml:space="preserve">Region: </w:t>
      </w:r>
      <w:r w:rsidR="00000000" w:rsidDel="00000000" w:rsidRPr="00000000">
        <w:rPr>
          <w:rFonts w:ascii="Arial" w:eastAsia="Arial" w:hAnsi="Arial" w:cs="Arial"/>
          <w:sz w:val="22.0"/>
        </w:rPr>
        <w:t xml:space="preserve">UAE</w:t>
      </w:r>
      <w:r w:rsidR="00000000" w:rsidDel="00000000" w:rsidRPr="00000000">
        <w:rPr>
          <w:b w:val="true"/>
          <w:rFonts w:ascii="Arial" w:eastAsia="Arial" w:hAnsi="Arial" w:cs="Arial"/>
          <w:sz w:val="22.0"/>
        </w:rPr>
        <w:t xml:space="preserve">  |  Type: </w:t>
      </w:r>
      <w:r w:rsidR="00000000" w:rsidDel="00000000" w:rsidRPr="00000000">
        <w:rPr>
          <w:rFonts w:ascii="Arial" w:eastAsia="Arial" w:hAnsi="Arial" w:cs="Arial"/>
          <w:sz w:val="22.0"/>
        </w:rPr>
        <w:t xml:space="preserve">Financial Services, Cybersecurity Framework, Incident Management, Operational Resilience</w:t>
      </w:r>
      <w:r w:rsidR="00000000" w:rsidDel="00000000" w:rsidRPr="00000000">
        <w:rPr>
          <w:b w:val="true"/>
          <w:rFonts w:ascii="Arial" w:eastAsia="Arial" w:hAnsi="Arial" w:cs="Arial"/>
          <w:sz w:val="22.0"/>
        </w:rPr>
        <w:t xml:space="preserve">  |  Category: </w:t>
      </w:r>
      <w:r w:rsidR="00000000" w:rsidDel="00000000" w:rsidRPr="00000000">
        <w:rPr>
          <w:rFonts w:ascii="Arial" w:eastAsia="Arial" w:hAnsi="Arial" w:cs="Arial"/>
          <w:sz w:val="22.0"/>
        </w:rPr>
        <w:t xml:space="preserve">Compliance</w:t>
      </w:r>
      <w:r w:rsidR="00000000" w:rsidDel="00000000" w:rsidRPr="00000000">
        <w:rPr>
          <w:b w:val="true"/>
          <w:rFonts w:ascii="Arial" w:eastAsia="Arial" w:hAnsi="Arial" w:cs="Arial"/>
          <w:sz w:val="22.0"/>
        </w:rPr>
        <w:t xml:space="preserve">  |  Pricing: </w:t>
      </w:r>
      <w:r w:rsidR="00000000" w:rsidDel="00000000" w:rsidRPr="00000000">
        <w:rPr>
          <w:rFonts w:ascii="Arial" w:eastAsia="Arial" w:hAnsi="Arial" w:cs="Arial"/>
          <w:sz w:val="22.0"/>
        </w:rPr>
        <w:t xml:space="preserve">Free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Overview</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The CBUAE Cyber compliance extension in Log360 helps organizations meet the Central Bank of the UAE Cybersecurity Regulations and Information Security Standards, CBUAE's mandatory framework for cyber risk governance, security operations, and operational resilience in regulated financial institutions by providing centralized log management, threat detection, identity monitoring, and compliance reporting. The platform supports CBUAE Cyber requirements for risk governance, identity management, security operations, incident response, network security, endpoint protection, and operational resilience.</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For Cyber Risk Governance and Policy Enforcement, Log360 aggregates policy modification and administrative change events to support governance accountability and regulatory review. To address Identity and Access Management, the platform monitors authentication events across Active Directory, cloud identity providers, and network devices. The extension also supports Security Operations and Continuous Monitoring by providing capabilities that consolidates security events from all log sources to enable real-time detection and correlation.</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Key Features</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b w:val="true"/>
          <w:rFonts w:ascii="Arial" w:eastAsia="Arial" w:hAnsi="Arial" w:cs="Arial"/>
          <w:sz w:val="22.0"/>
        </w:rPr>
        <w:t xml:space="preserve">Incident Management and Response: </w:t>
      </w:r>
      <w:r w:rsidR="00000000" w:rsidDel="00000000" w:rsidRPr="00000000">
        <w:rPr>
          <w:rFonts w:ascii="Arial" w:eastAsia="Arial" w:hAnsi="Arial" w:cs="Arial"/>
          <w:sz w:val="22.0"/>
        </w:rPr>
        <w:t xml:space="preserve">Log360 provides real-time alerts and forensic log data to support incident response workflows.</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b w:val="true"/>
          <w:rFonts w:ascii="Arial" w:eastAsia="Arial" w:hAnsi="Arial" w:cs="Arial"/>
          <w:sz w:val="22.0"/>
        </w:rPr>
        <w:t xml:space="preserve">Network and Infrastructure Security: </w:t>
      </w:r>
      <w:r w:rsidR="00000000" w:rsidDel="00000000" w:rsidRPr="00000000">
        <w:rPr>
          <w:rFonts w:ascii="Arial" w:eastAsia="Arial" w:hAnsi="Arial" w:cs="Arial"/>
          <w:sz w:val="22.0"/>
        </w:rPr>
        <w:t xml:space="preserve">Log360 provides unified visibility into firewall policy changes, network logon events, and attack attempts.</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b w:val="true"/>
          <w:rFonts w:ascii="Arial" w:eastAsia="Arial" w:hAnsi="Arial" w:cs="Arial"/>
          <w:sz w:val="22.0"/>
        </w:rPr>
        <w:t xml:space="preserve">Endpoint Security and Removable Media Control: </w:t>
      </w:r>
      <w:r w:rsidR="00000000" w:rsidDel="00000000" w:rsidRPr="00000000">
        <w:rPr>
          <w:rFonts w:ascii="Arial" w:eastAsia="Arial" w:hAnsi="Arial" w:cs="Arial"/>
          <w:sz w:val="22.0"/>
        </w:rPr>
        <w:t xml:space="preserve">Log360 monitors endpoint threats, removable media events, and application execution across the enterprise.</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b w:val="true"/>
          <w:rFonts w:ascii="Arial" w:eastAsia="Arial" w:hAnsi="Arial" w:cs="Arial"/>
          <w:sz w:val="22.0"/>
        </w:rPr>
        <w:t xml:space="preserve">Operational Resilience and Business Continuity: </w:t>
      </w:r>
      <w:r w:rsidR="00000000" w:rsidDel="00000000" w:rsidRPr="00000000">
        <w:rPr>
          <w:rFonts w:ascii="Arial" w:eastAsia="Arial" w:hAnsi="Arial" w:cs="Arial"/>
          <w:sz w:val="22.0"/>
        </w:rPr>
        <w:t xml:space="preserve">Log360 tracks backup job completion, DR policy changes, and recovery event logs to support resilience assurance.</w:t>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7048500" cy="32480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48025"/>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rPr/>
        <w:t xml:space="preserve">Valid Submission : Yes</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Editions : Free, Basic, Standard, Professional, MSSP</w:t>
      </w:r>
    </w:p>
    <w:p xmlns:w14="http://schemas.microsoft.com/office/word/2010/wordml" w:rsidR="00000000" w:rsidRDefault="00000000" w14:textId="00000000" w:rsidDel="00000000" w:rsidP="00000000" w:rsidRPr="00000000">
      <w:pPr>
        <w:widowControl w:val="1"/>
      </w:pPr>
      <w:r w:rsidR="00000000" w:rsidDel="00000000" w:rsidRPr="00000000">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widowControl w:val="1"/>
      </w:pPr>
      <w:r w:rsidR="00000000" w:rsidDel="00000000" w:rsidRPr="00000000">
        <w:rPr/>
        <w:t xml:space="preserve">Help Video : Not provided</w:t>
      </w:r>
    </w:p>
    <w:p xmlns:w14="http://schemas.microsoft.com/office/word/2010/wordml" w:rsidR="00000000" w:rsidRDefault="00000000" w14:textId="00000000" w:rsidDel="00000000" w:rsidP="00000000" w:rsidRPr="00000000">
      <w:pPr>
        <w:widowControl w:val="1"/>
      </w:pPr>
      <w:r w:rsidR="00000000" w:rsidDel="00000000" w:rsidRPr="00000000">
        <w:rPr/>
        <w:t xml:space="preserve">Tags : Log360, Compliance, Privacy monitoring, Data privacy, Regulatory compliance</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DCs : US, IN, JP, CA, AU, UK and EU</w:t>
      </w:r>
    </w:p>
    <w:p xmlns:w14="http://schemas.microsoft.com/office/word/2010/wordml" w:rsidR="00000000" w:rsidRDefault="00000000" w14:textId="00000000" w:rsidDel="00000000" w:rsidP="00000000" w:rsidRPr="00000000">
      <w:pPr>
        <w:widowControl w:val="1"/>
      </w:pPr>
      <w:r w:rsidR="00000000" w:rsidDel="00000000" w:rsidRPr="00000000">
        <w:rPr/>
        <w:t xml:space="preserve">Privacy Policy:</w:t>
      </w:r>
    </w:p>
    <w:p xmlns:w14="http://schemas.microsoft.com/office/word/2010/wordml" w:rsidR="00000000" w:rsidRDefault="00000000" w14:textId="00000000" w:rsidDel="00000000" w:rsidP="00000000" w:rsidRPr="00000000">
      <w:pPr>
        <w:widowControl w:val="1"/>
      </w:pPr>
      <w:r w:rsidR="00000000" w:rsidDel="00000000" w:rsidRPr="00000000">
        <w:rPr/>
        <w:t xml:space="preserve">Terms of Service:</w:t>
      </w:r>
    </w:p>
    <w:p xmlns:w14="http://schemas.microsoft.com/office/word/2010/wordml" w:rsidR="00000000" w:rsidRDefault="00000000" w14:textId="00000000" w:rsidDel="00000000" w:rsidP="00000000" w:rsidRPr="00000000">
      <w:pPr>
        <w:widowControl w:val="1"/>
      </w:pPr>
      <w:r w:rsidR="00000000" w:rsidDel="00000000" w:rsidRPr="00000000">
        <w:rPr/>
        <w:t xml:space="preserve">Release Notes:</w:t>
      </w:r>
    </w:p>
    <w:p xmlns:w14="http://schemas.microsoft.com/office/word/2010/wordml" w:rsidR="00000000" w:rsidRDefault="00000000" w14:textId="00000000" w:rsidDel="00000000" w:rsidP="00000000" w:rsidRPr="00000000">
      <w:pPr>
        <w:widowControl w:val="1"/>
      </w:pPr>
      <w:r w:rsidR="00000000" w:rsidDel="00000000" w:rsidRPr="00000000">
        <w:rPr/>
        <w:t xml:space="preserve">Predefined reports for the CBUAE Cyber.</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08" w:bottom="1440" w:left="1440" w:right="1440" w:top="1440" w:footer="708" w:gutter="0"/>
      <w:pgNumType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0ac6118b-d3b0-b58a-dfb3-e82ef7300a4a"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720" w:hanging="360"/>
      </w:pPr>
    </w:lvl>
    <w:lvl w:ilvl="1">
      <w:start w:val="1"/>
      <w:numFmt w:val="decimal"/>
      <w:lvlText w:val="%2."/>
      <w:lvlJc w:val="left"/>
      <w:pPr>
        <w:widowControl w:val="1"/>
      </w:pPr>
    </w:lvl>
    <w:lvl w:ilvl="2">
      <w:start w:val="1"/>
      <w:numFmt w:val="decimal"/>
      <w:lvlText w:val="%3."/>
      <w:lvlJc w:val="left"/>
      <w:pPr>
        <w:widowControl w:val="1"/>
      </w:pPr>
    </w:lvl>
    <w:lvl w:ilvl="3">
      <w:start w:val="1"/>
      <w:numFmt w:val="decimal"/>
      <w:lvlText w:val="%4."/>
      <w:lvlJc w:val="left"/>
      <w:pPr>
        <w:widowControl w:val="1"/>
      </w:pPr>
    </w:lvl>
    <w:lvl w:ilvl="4">
      <w:start w:val="1"/>
      <w:numFmt w:val="decimal"/>
      <w:lvlText w:val="%5."/>
      <w:lvlJc w:val="left"/>
      <w:pPr>
        <w:widowControl w:val="1"/>
      </w:pPr>
    </w:lvl>
    <w:lvl w:ilvl="5">
      <w:start w:val="1"/>
      <w:numFmt w:val="decimal"/>
      <w:lvlText w:val="%6."/>
      <w:lvlJc w:val="left"/>
      <w:pPr>
        <w:widowControl w:val="1"/>
      </w:pPr>
    </w:lvl>
    <w:lvl w:ilvl="6">
      <w:start w:val="1"/>
      <w:numFmt w:val="decimal"/>
      <w:lvlText w:val="%7."/>
      <w:lvlJc w:val="left"/>
      <w:pPr>
        <w:widowControl w:val="1"/>
      </w:pPr>
    </w:lvl>
    <w:lvl w:ilvl="7">
      <w:start w:val="1"/>
      <w:numFmt w:val="decimal"/>
      <w:lvlText w:val="%8."/>
      <w:lvlJc w:val="left"/>
      <w:pPr>
        <w:widowControl w:val="1"/>
      </w:pPr>
    </w:lvl>
    <w:lvl w:ilvl="8">
      <w:start w:val="1"/>
      <w:numFmt w:val="decimal"/>
      <w:lvlText w:val="%9."/>
      <w:lvlJc w:val="left"/>
      <w:pPr>
        <w:widowControl w:val="1"/>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88.0000114440918" w:after="240.0"/>
        <w:jc w:val="left"/>
        <w:widowControl w:val="1"/>
      </w:pPr>
    </w:pPrDefault>
  </w:docDefaults>
  <w:style w:type="paragraph" w:styleId="endnotetext">
    <w:name w:val="endnote text"/>
    <w:uiPriority w:val="1"/>
    <w:basedOn w:val="Normal"/>
    <w:next w:val="endnotetext"/>
    <w:pPr>
      <w:spacing w:line="240.0" w:lineRule="auto" w:after="0.0"/>
      <w:widowControl w:val="1"/>
    </w:pPr>
    <w:rPr>
      <w:sz w:val="20"/>
    </w:rPr>
    <w:unhideWhenUsed/>
    <w:qFormat/>
  </w:style>
  <w:style w:type="paragraph" w:default="1" w:styleId="Normal">
    <w:name w:val="Normal"/>
    <w:uiPriority w:val="1"/>
    <w:next w:val="Normal"/>
    <w:pPr>
      <w:spacing w:line="288.0000114440918" w:after="240.0"/>
      <w:jc w:val="left"/>
      <w:widowControl w:val="1"/>
    </w:pPr>
    <w:rPr>
      <w:rFonts w:ascii="Arial" w:eastAsia="Arial" w:hAnsi="Arial" w:cs="Arial"/>
      <w:sz w:val="22"/>
    </w:rPr>
    <w:aliases w:val="Normal"/>
    <w:unhideWhenUsed/>
    <w:qFormat/>
  </w:style>
  <w:style w:type="paragraph" w:styleId="Heading1">
    <w:name w:val="Heading 1"/>
    <w:uiPriority w:val="1"/>
    <w:basedOn w:val="Normal"/>
    <w:next w:val="Normal"/>
    <w:pPr>
      <w:spacing w:after="120.0" w:before="240.0"/>
      <w:widowControl w:val="1"/>
    </w:pPr>
    <w:rPr>
      <w:b w:val="true"/>
      <w:rFonts w:ascii="Arial" w:eastAsia="Arial" w:hAnsi="Arial" w:cs="Arial"/>
      <w:color w:val="1F3864"/>
      <w:sz w:val="36"/>
    </w:rPr>
    <w:aliases w:val="Heading 1"/>
    <w:unhideWhenUsed/>
    <w:qFormat/>
  </w:style>
  <w:style w:type="paragraph" w:styleId="Heading2">
    <w:name w:val="Heading 2"/>
    <w:uiPriority w:val="1"/>
    <w:basedOn w:val="Normal"/>
    <w:next w:val="Normal"/>
    <w:pPr>
      <w:spacing w:after="100.0" w:before="200.0"/>
      <w:widowControl w:val="1"/>
    </w:pPr>
    <w:rPr>
      <w:b w:val="true"/>
      <w:rFonts w:ascii="Arial" w:eastAsia="Arial" w:hAnsi="Arial" w:cs="Arial"/>
      <w:color w:val="2E75B6"/>
      <w:sz w:val="26"/>
    </w:rPr>
    <w:aliases w:val="Heading 2"/>
    <w:unhideWhenUsed/>
    <w:qFormat/>
  </w:style>
  <w:style w:type="paragraph" w:styleId="Heading3">
    <w:name w:val="Heading 3"/>
    <w:uiPriority w:val="1"/>
    <w:basedOn w:val="Normal"/>
    <w:next w:val="Normal"/>
    <w:pPr>
      <w:widowControl w:val="1"/>
    </w:pPr>
    <w:rPr>
      <w:color w:val="1F4D78"/>
      <w:sz w:val="24"/>
    </w:rPr>
    <w:aliases w:val="Heading 3"/>
    <w:unhideWhenUsed/>
    <w:qFormat/>
  </w:style>
  <w:style w:type="paragraph" w:styleId="Strong">
    <w:name w:val="Strong"/>
    <w:uiPriority w:val="1"/>
    <w:basedOn w:val="Normal"/>
    <w:next w:val="Normal"/>
    <w:pPr>
      <w:widowControl w:val="1"/>
    </w:pPr>
    <w:rPr>
      <w:b w:val="true"/>
    </w:rPr>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Heading7">
    <w:name w:val="Heading 7"/>
    <w:uiPriority w:val="1"/>
    <w:basedOn w:val="Normal"/>
    <w:next w:val="Normal"/>
    <w:link w:val="Heading7Char"/>
    <w:pPr>
      <w:spacing w:before="40.0"/>
      <w:widowControl w:val="1"/>
    </w:pPr>
    <w:rPr>
      <w:rFonts w:ascii="Roboto" w:eastAsia="Roboto" w:hAnsi="Roboto" w:cs="Roboto"/>
      <w:i w:val="true"/>
      <w:color w:val="447DE2" w:themeColor="accent1" w:themeShade="7F"/>
      <w:sz w:val="20"/>
    </w:rPr>
    <w:aliases w:val="Heading 7"/>
    <w:unhideWhenUsed/>
    <w:qFormat/>
  </w:style>
  <w:style w:type="paragraph" w:styleId="Heading8">
    <w:name w:val="Heading 8"/>
    <w:uiPriority w:val="1"/>
    <w:basedOn w:val="Normal"/>
    <w:next w:val="Normal"/>
    <w:link w:val="Heading8Char"/>
    <w:pPr>
      <w:spacing w:before="40.0"/>
      <w:widowControl w:val="1"/>
    </w:pPr>
    <w:rPr>
      <w:b w:val="true"/>
      <w:rFonts w:ascii="Roboto" w:eastAsia="Roboto" w:hAnsi="Roboto" w:cs="Roboto"/>
      <w:color w:val="26543D" w:themeColor="dark2"/>
      <w:sz w:val="20"/>
    </w:rPr>
    <w:aliases w:val="Heading 8"/>
    <w:unhideWhenUsed/>
    <w:qFormat/>
  </w:style>
  <w:style w:type="paragraph" w:styleId="Heading9">
    <w:name w:val="Heading 9"/>
    <w:uiPriority w:val="1"/>
    <w:basedOn w:val="Normal"/>
    <w:next w:val="Normal"/>
    <w:link w:val="Heading9Char"/>
    <w:pPr>
      <w:spacing w:before="40.0"/>
      <w:widowControl w:val="1"/>
    </w:pPr>
    <w:rPr>
      <w:b w:val="true"/>
      <w:rFonts w:ascii="Roboto" w:eastAsia="Roboto" w:hAnsi="Roboto" w:cs="Roboto"/>
      <w:i w:val="true"/>
      <w:color w:val="26543D" w:themeColor="dark2"/>
      <w:sz w:val="20"/>
    </w:rPr>
    <w:aliases w:val="Heading 9"/>
    <w:unhideWhenUsed/>
    <w:qFormat/>
  </w:style>
  <w:style w:type="paragraph" w:styleId="footnotetext">
    <w:name w:val="footnote text"/>
    <w:uiPriority w:val="1"/>
    <w:basedOn w:val="Normal"/>
    <w:next w:val="footnotetext"/>
    <w:pPr>
      <w:spacing w:line="240.0" w:lineRule="auto" w:after="0.0"/>
      <w:widowControl w:val="1"/>
    </w:pPr>
    <w:rPr>
      <w:sz w:val="20"/>
    </w:rPr>
    <w:unhideWhenUsed/>
    <w:qFormat/>
  </w:style>
  <w:style w:type="paragraph" w:styleId="Title">
    <w:name w:val="Title"/>
    <w:uiPriority w:val="1"/>
    <w:basedOn w:val="Normal"/>
    <w:next w:val="Normal"/>
    <w:pPr>
      <w:widowControl w:val="1"/>
    </w:pPr>
    <w:rPr>
      <w:sz w:val="56"/>
    </w:rPr>
    <w:aliases w:val="Title"/>
    <w:unhideWhenUsed/>
    <w:qFormat/>
  </w:style>
  <w:style w:type="paragraph" w:styleId="Subtitle">
    <w:name w:val="Subtitle"/>
    <w:uiPriority w:val="1"/>
    <w:basedOn w:val="Normal"/>
    <w:next w:val="Normal"/>
    <w:pPr>
      <w:spacing w:line="240.0" w:after="480.0" w:before="240.0"/>
      <w:jc w:val="left"/>
      <w:widowControl w:val="1"/>
    </w:pPr>
    <w:rPr>
      <w:b w:val="true"/>
      <w:rFonts w:ascii="Roboto" w:eastAsia="Roboto" w:hAnsi="Roboto" w:cs="Roboto"/>
      <w:i w:val="true"/>
      <w:color w:val="404040"/>
      <w:sz w:val="24"/>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none" w:color="000000" w:sz="0" w:space="7"/>
        <w:left w:val="single" w:color="447DE2" w:themeColor="accent1" w:themeShade="BF" w:sz="24" w:space="7"/>
        <w:bottom w:val="none" w:color="000000" w:sz="0" w:space="7"/>
      </w:pBdr>
      <w:jc w:val="left"/>
      <w:widowControl w:val="1"/>
    </w:pPr>
    <w:rPr>
      <w:rFonts w:ascii="Roboto" w:eastAsia="Roboto" w:hAnsi="Roboto" w:cs="Roboto"/>
      <w:color w:val="000000" w:themeColor="dark1"/>
      <w:sz w:val="24"/>
    </w:rPr>
    <w:aliases w:val="Quote"/>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Roboto" w:eastAsia="Roboto" w:hAnsi="Roboto" w:cs="Roboto"/>
      <w:color w:val="447DE2" w:themeColor="accent1"/>
      <w:sz w:val="28"/>
    </w:rPr>
    <w:aliases w:val="Intense Quote"/>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NoSpacing">
    <w:name w:val="No Spacing"/>
    <w:uiPriority w:val="1"/>
    <w:basedOn w:val="Normal"/>
    <w:next w:val="Normal"/>
    <w:pPr>
      <w:spacing w:line="240.0"/>
      <w:widowControl w:val="1"/>
    </w:pPr>
    <w:rPr/>
    <w:aliases w:val="No Spacing"/>
    <w:unhideWhenUsed/>
    <w:qFormat/>
  </w:style>
  <w:style w:type="character" w:styleId="Heading4Char">
    <w:name w:val="Heading 4 Char"/>
    <w:uiPriority w:val="1"/>
    <w:basedOn w:val="DefaultParagraphFont"/>
    <w:link w:val="Heading4"/>
    <w:rPr>
      <w:b w:val="true"/>
      <w:rFonts w:ascii="Roboto" w:eastAsia="Roboto" w:hAnsi="Roboto" w:cs="Roboto"/>
      <w:i w:val="true"/>
      <w:color w:val="000000" w:themeColor="dark1"/>
      <w:sz w:val="28"/>
    </w:rPr>
    <w:aliases w:val="Heading 4 Char"/>
    <w:unhideWhenUsed/>
    <w:qFormat/>
  </w:style>
  <w:style w:type="character" w:styleId="FootnoteTextChar">
    <w:name w:val="Footnote Text Char"/>
    <w:uiPriority w:val="1"/>
    <w:basedOn w:val="DefaultParagraphFont"/>
    <w:rPr>
      <w:sz w:val="20"/>
    </w:rPr>
    <w:unhideWhenUsed/>
    <w:qFormat/>
  </w:style>
  <w:style w:type="character" w:styleId="Heading9Char">
    <w:name w:val="Heading 9 Char"/>
    <w:uiPriority w:val="1"/>
    <w:basedOn w:val="DefaultParagraphFont"/>
    <w:link w:val="Heading9"/>
    <w:rPr>
      <w:b w:val="true"/>
      <w:rFonts w:ascii="Roboto" w:eastAsia="Roboto" w:hAnsi="Roboto" w:cs="Roboto"/>
      <w:i w:val="true"/>
      <w:color w:val="26543D" w:themeColor="dark2"/>
      <w:sz w:val="20"/>
    </w:rPr>
    <w:aliases w:val="Heading 9 Char"/>
    <w:unhideWhenUsed/>
    <w:qFormat/>
  </w:style>
  <w:style w:type="character" w:styleId="endnotereference">
    <w:name w:val="endnote reference"/>
    <w:uiPriority w:val="1"/>
    <w:basedOn w:val="DefaultParagraphFont"/>
    <w:rPr>
      <w:vertAlign w:val="superscript"/>
    </w:rPr>
    <w:unhideWhenUsed/>
    <w:qFormat/>
  </w:style>
  <w:style w:type="character" w:styleId="DefaultParagraphFont">
    <w:name w:val="Default Paragraph Font"/>
    <w:uiPriority w:val="1"/>
    <w:rPr>
      <w:rFonts w:ascii="Roboto" w:eastAsia="Roboto" w:hAnsi="Roboto" w:cs="Roboto"/>
      <w:sz w:val="24"/>
    </w:rPr>
    <w:aliases w:val="Default Paragraph Font"/>
    <w:unhideWhenUsed/>
    <w:qFormat/>
  </w:style>
  <w:style w:type="character" w:styleId="EndnoteTextChar">
    <w:name w:val="Endnote Text Char"/>
    <w:uiPriority w:val="1"/>
    <w:basedOn w:val="DefaultParagraphFont"/>
    <w:rPr>
      <w:sz w:val="20"/>
    </w:rPr>
    <w:unhideWhenUsed/>
    <w:qFormat/>
  </w:style>
  <w:style w:type="character" w:styleId="SubtitleChar">
    <w:name w:val="Subtitle Char"/>
    <w:uiPriority w:val="1"/>
    <w:basedOn w:val="DefaultParagraphFont"/>
    <w:rPr>
      <w:b w:val="true"/>
      <w:rFonts w:ascii="Roboto" w:eastAsia="Roboto" w:hAnsi="Roboto" w:cs="Roboto"/>
      <w:i w:val="true"/>
      <w:color w:val="404040"/>
      <w:sz w:val="24"/>
    </w:rPr>
    <w:aliases w:val="Subtitle Char"/>
    <w:unhideWhenUsed/>
    <w:qFormat/>
  </w:style>
  <w:style w:type="character" w:styleId="Hyperlink">
    <w:name w:val="Hyperlink"/>
    <w:uiPriority w:val="1"/>
    <w:basedOn w:val="DefaultParagraphFont"/>
    <w:rPr>
      <w:color w:val="0563C1"/>
      <w:u w:val="single"/>
    </w:rPr>
    <w:unhideWhenUsed/>
    <w:qFormat/>
  </w:style>
  <w:style w:type="character" w:styleId="Heading2Char">
    <w:name w:val="Heading 2 Char"/>
    <w:uiPriority w:val="1"/>
    <w:basedOn w:val="DefaultParagraphFont"/>
    <w:link w:val="Heading2"/>
    <w:rPr>
      <w:b w:val="true"/>
      <w:rFonts w:ascii="Roboto" w:eastAsia="Roboto" w:hAnsi="Roboto" w:cs="Roboto"/>
      <w:color w:val="000000" w:themeColor="dark1"/>
      <w:sz w:val="36"/>
    </w:rPr>
    <w:aliases w:val="Heading 2 Char"/>
    <w:unhideWhenUsed/>
    <w:qFormat/>
  </w:style>
  <w:style w:type="character" w:styleId="Heading8Char">
    <w:name w:val="Heading 8 Char"/>
    <w:uiPriority w:val="1"/>
    <w:basedOn w:val="DefaultParagraphFont"/>
    <w:link w:val="Heading8"/>
    <w:rPr>
      <w:b w:val="true"/>
      <w:rFonts w:ascii="Roboto" w:eastAsia="Roboto" w:hAnsi="Roboto" w:cs="Roboto"/>
      <w:color w:val="26543D" w:themeColor="dark2"/>
      <w:sz w:val="20"/>
    </w:rPr>
    <w:aliases w:val="Heading 8 Char"/>
    <w:unhideWhenUsed/>
    <w:qFormat/>
  </w:style>
  <w:style w:type="character" w:styleId="Heading6Char">
    <w:name w:val="Heading 6 Char"/>
    <w:uiPriority w:val="1"/>
    <w:basedOn w:val="DefaultParagraphFont"/>
    <w:link w:val="Heading6"/>
    <w:rPr>
      <w:rFonts w:ascii="Roboto" w:eastAsia="Roboto" w:hAnsi="Roboto" w:cs="Roboto"/>
      <w:i w:val="true"/>
      <w:color w:val="000000" w:themeColor="dark1"/>
      <w:sz w:val="22"/>
      <w:u w:val="single"/>
    </w:rPr>
    <w:aliases w:val="Heading 6 Char"/>
    <w:unhideWhenUsed/>
    <w:qFormat/>
  </w:style>
  <w:style w:type="character" w:styleId="SubtleEmphasis">
    <w:name w:val="Subtle Emphasis"/>
    <w:uiPriority w:val="1"/>
    <w:basedOn w:val="DefaultParagraphFont"/>
    <w:rPr>
      <w:rFonts w:ascii="Roboto" w:eastAsia="Roboto" w:hAnsi="Roboto" w:cs="Roboto"/>
      <w:i w:val="true"/>
      <w:color w:val="000000" w:themeColor="dark1" w:themeTint="3f"/>
      <w:sz w:val="24"/>
    </w:rPr>
    <w:aliases w:val="Subtle Emphasis"/>
    <w:unhideWhenUsed/>
    <w:qFormat/>
  </w:style>
  <w:style w:type="character" w:styleId="Emphasis">
    <w:name w:val="Emphasis"/>
    <w:uiPriority w:val="1"/>
    <w:basedOn w:val="DefaultParagraphFont"/>
    <w:rPr>
      <w:rFonts w:ascii="Roboto" w:eastAsia="Roboto" w:hAnsi="Roboto" w:cs="Roboto"/>
      <w:i w:val="true"/>
      <w:sz w:val="24"/>
    </w:rPr>
    <w:aliases w:val="Emphasis"/>
    <w:unhideWhenUsed/>
    <w:qFormat/>
  </w:style>
  <w:style w:type="character" w:styleId="IntenseEmphasis">
    <w:name w:val="Intense Emphasis"/>
    <w:uiPriority w:val="1"/>
    <w:basedOn w:val="DefaultParagraphFont"/>
    <w:rPr>
      <w:b w:val="true"/>
      <w:rFonts w:ascii="Roboto" w:eastAsia="Roboto" w:hAnsi="Roboto" w:cs="Roboto"/>
      <w:i w:val="true"/>
      <w:sz w:val="24"/>
    </w:rPr>
    <w:aliases w:val="Intense Emphasis"/>
    <w:unhideWhenUsed/>
    <w:qFormat/>
  </w:style>
  <w:style w:type="character" w:styleId="TitleChar">
    <w:name w:val="Title Char"/>
    <w:uiPriority w:val="1"/>
    <w:basedOn w:val="DefaultParagraphFont"/>
    <w:link w:val="Title"/>
    <w:rPr>
      <w:b w:val="true"/>
      <w:rFonts w:ascii="Roboto" w:eastAsia="Roboto" w:hAnsi="Roboto" w:cs="Roboto"/>
      <w:color w:val="447DE2" w:themeColor="accent1" w:themeShade="BF"/>
      <w:spacing w:val="0"/>
      <w:sz w:val="72"/>
    </w:rPr>
    <w:aliases w:val="Title Char"/>
    <w:unhideWhenUsed/>
    <w:qFormat/>
  </w:style>
  <w:style w:type="character" w:styleId="Strong">
    <w:name w:val="Strong"/>
    <w:uiPriority w:val="1"/>
    <w:basedOn w:val="DefaultParagraphFont"/>
    <w:rPr>
      <w:b w:val="true"/>
      <w:rFonts w:ascii="Roboto" w:eastAsia="Roboto" w:hAnsi="Roboto" w:cs="Roboto"/>
      <w:sz w:val="24"/>
    </w:rPr>
    <w:aliases w:val="Strong"/>
    <w:unhideWhenUsed/>
    <w:qFormat/>
  </w:style>
  <w:style w:type="character" w:styleId="SubtleReference">
    <w:name w:val="Subtle Reference"/>
    <w:uiPriority w:val="1"/>
    <w:basedOn w:val="DefaultParagraphFont"/>
    <w:rPr>
      <w:rFonts w:ascii="Roboto" w:eastAsia="Roboto" w:hAnsi="Roboto" w:cs="Roboto"/>
      <w:color w:val="000000" w:themeColor="dark1" w:themeTint="3f"/>
      <w:sz w:val="24"/>
      <w:u w:val="single"/>
      <w:smallCaps/>
    </w:rPr>
    <w:aliases w:val="Subtle Reference"/>
    <w:unhideWhenUsed/>
    <w:qFormat/>
  </w:style>
  <w:style w:type="character" w:styleId="IntenseReference">
    <w:name w:val="Intense Reference"/>
    <w:uiPriority w:val="1"/>
    <w:basedOn w:val="DefaultParagraphFont"/>
    <w:rPr>
      <w:b w:val="true"/>
      <w:rFonts w:ascii="Roboto" w:eastAsia="Roboto" w:hAnsi="Roboto" w:cs="Roboto"/>
      <w:spacing w:val="0"/>
      <w:sz w:val="24"/>
      <w:u w:val="single"/>
      <w:smallCaps/>
    </w:rPr>
    <w:aliases w:val="Intense Reference"/>
    <w:unhideWhenUsed/>
    <w:qFormat/>
  </w:style>
  <w:style w:type="character" w:styleId="BookTitle">
    <w:name w:val="Book Title"/>
    <w:uiPriority w:val="1"/>
    <w:basedOn w:val="DefaultParagraphFont"/>
    <w:rPr>
      <w:b w:val="true"/>
      <w:rFonts w:ascii="Roboto" w:eastAsia="Roboto" w:hAnsi="Roboto" w:cs="Roboto"/>
      <w:sz w:val="24"/>
      <w:smallCaps/>
    </w:rPr>
    <w:aliases w:val="Book Title"/>
    <w:unhideWhenUsed/>
    <w:qFormat/>
  </w:style>
  <w:style w:type="character" w:styleId="Heading7Char">
    <w:name w:val="Heading 7 Char"/>
    <w:uiPriority w:val="1"/>
    <w:basedOn w:val="DefaultParagraphFont"/>
    <w:link w:val="Heading7"/>
    <w:rPr>
      <w:rFonts w:ascii="Roboto" w:eastAsia="Roboto" w:hAnsi="Roboto" w:cs="Roboto"/>
      <w:i w:val="true"/>
      <w:color w:val="447DE2" w:themeColor="accent1" w:themeShade="7F"/>
      <w:sz w:val="20"/>
    </w:rPr>
    <w:aliases w:val="Heading 7 Char"/>
    <w:unhideWhenUsed/>
    <w:qFormat/>
  </w:style>
  <w:style w:type="character" w:styleId="Heading1Char">
    <w:name w:val="Heading 1 Char"/>
    <w:uiPriority w:val="1"/>
    <w:basedOn w:val="DefaultParagraphFont"/>
    <w:link w:val="Heading1"/>
    <w:rPr>
      <w:b w:val="true"/>
      <w:rFonts w:ascii="Roboto" w:eastAsia="Roboto" w:hAnsi="Roboto" w:cs="Roboto"/>
      <w:color w:val="000000" w:themeColor="dark1" w:themeTint="F2"/>
      <w:sz w:val="48"/>
    </w:rPr>
    <w:aliases w:val="Heading 1 Char"/>
    <w:unhideWhenUsed/>
    <w:qFormat/>
  </w:style>
  <w:style w:type="character" w:styleId="Heading3Char">
    <w:name w:val="Heading 3 Char"/>
    <w:uiPriority w:val="1"/>
    <w:basedOn w:val="DefaultParagraphFont"/>
    <w:link w:val="Heading3"/>
    <w:rPr>
      <w:b w:val="true"/>
      <w:rFonts w:ascii="Roboto" w:eastAsia="Roboto" w:hAnsi="Roboto" w:cs="Roboto"/>
      <w:color w:val="000000" w:themeColor="dark1"/>
      <w:sz w:val="32"/>
    </w:rPr>
    <w:aliases w:val="Heading 3 Char"/>
    <w:unhideWhenUsed/>
    <w:qFormat/>
  </w:style>
  <w:style w:type="character" w:styleId="Heading5Char">
    <w:name w:val="Heading 5 Char"/>
    <w:uiPriority w:val="1"/>
    <w:basedOn w:val="DefaultParagraphFont"/>
    <w:link w:val="Heading5"/>
    <w:rPr>
      <w:rFonts w:ascii="Roboto" w:eastAsia="Roboto" w:hAnsi="Roboto" w:cs="Roboto"/>
      <w:color w:val="FFFFFF" w:themeColor="light1"/>
      <w:sz w:val="24"/>
    </w:rPr>
    <w:aliases w:val="Heading 5 Char"/>
    <w:unhideWhenUsed/>
    <w:qFormat/>
  </w:style>
  <w:style w:type="character" w:styleId="footnotereference">
    <w:name w:val="footnote reference"/>
    <w:uiPriority w:val="1"/>
    <w:basedOn w:val="DefaultParagraphFont"/>
    <w:rPr>
      <w:vertAlign w:val="superscript"/>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0ac6118b-d3b0-b58a-dfb3-e82ef7300a4a"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