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ACPR IT and Outsourcing Instructions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ACPR IT and outsourcing security compliance with centralized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ACPR IT and Outsourcing Instructions Compliance extension for Log360 helps French banks, insurance companies, and financial institutions supervised by the Autorité de Contrôle Prudentiel et de Résolution (ACPR) meet the IT governance, outsourcing oversight, and information security monitoring requirements of ACPR's supervisory instructions.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correlates logs from financial systems, cloud environments, outsourced service platforms, and network infrastructure, providing continuous visibility into IT security events. Compliance teams can monitor outsourced services, detect anomalies, and generate audit documentation for ACPR inspections.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aligned to ACPR IT and Outsourcing Instructions covering access management, system monitoring, and security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outsourced service activity and third-party access events to detect unauthorized operations and supply chain security risks.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Track privileged user activities and administrative changes across financial IT environments and cloud platforms in real time.</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ACPR-ready compliance evidence in PDF and CSV formats for supervisory examinations and internal financial IT governance reviews.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r w:rsidR="00000000" w:rsidDel="00000000" w:rsidRPr="00000000">
        <w:drawing>
          <wp:inline xmlns:wp="http://schemas.openxmlformats.org/drawingml/2006/wordprocessingDrawing" distT="0" distR="0" distB="0" distL="0">
            <wp:extent cx="5486400" cy="252077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486400" cy="2520778"/>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ACPR IT and Outsourcing Instructions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8262f541-c892-780e-c423-b589ac36e843" w:fontKey="{00000000-0000-0000-0000-000000000000}" w:subsetted="0"/>
  </w:font>
  <w:font w:name="Caladea Regular">
    <w:embedRegular xmlns:r="http://schemas.openxmlformats.org/officeDocument/2006/relationships" r:id="rId365fdc94-e1df-2b9b-5938-64a89ceb2876"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List3">
    <w:name w:val="List 3"/>
    <w:uiPriority w:val="1"/>
    <w:basedOn w:val="Normal"/>
    <w:next w:val="List3"/>
    <w:pPr>
      <w:widowControl w:val="1"/>
      <w:ind w:left="1080" w:hanging="360"/>
    </w:pPr>
    <w:rPr/>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List2">
    <w:name w:val="List 2"/>
    <w:uiPriority w:val="1"/>
    <w:basedOn w:val="Normal"/>
    <w:next w:val="List2"/>
    <w:pPr>
      <w:widowControl w:val="1"/>
      <w:ind w:left="720" w:hanging="360"/>
    </w:pPr>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8262f541-c892-780e-c423-b589ac36e843" Target="fonts/ArimoRegular.ttf" Type="http://schemas.openxmlformats.org/officeDocument/2006/relationships/font"/><Relationship Id="rId365fdc94-e1df-2b9b-5938-64a89ceb2876" Target="fonts/CaladeaRegular.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