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HDS v2.0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w:t>
      </w: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 French health data hosting compliance with log monitoring and security reporting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HDS v2.0 (Health Data Hosting Certification) Compliance extension for Log360 helps French health data hosting service providers meet the security monitoring, access audit, and incident management requirements of the ANS-supervised HDS certification framework.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analyzes logs from health data infrastructure, cloud platforms, identity systems, and network devices, providing security teams with visibility into access to sensitive health data and system integrity events. Compliance teams can demonstrate control adherence and generate audit evidence for HDS certification audits conducted by accredited certification bodies.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HDS v2.0-aligned audit reports covering health data access events, user authentication, system changes, and security incident monitoring.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access to hosted patient health data and detect unauthorized queries, data transfers, and privilege escalations across health hosting infrastructure.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real-time alerts for HDS-critical security events such as unauthorized health data access, audit log tampering, and anomalous administrative actions.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evidence in PDF and CSV formats for HDS certification audits, ANS reporting, and internal health hosting governance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HDS v2.0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e120022d-bd48-ec0a-11ee-a3be788ae09f" w:fontKey="{00000000-0000-0000-0000-000000000000}" w:subsetted="0"/>
  </w:font>
  <w:font w:name="Caladea Regular">
    <w:embedRegular xmlns:r="http://schemas.openxmlformats.org/officeDocument/2006/relationships" r:id="rId7991574c-8726-4998-dd9d-a9c5310949be"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3">
    <w:name w:val="List 3"/>
    <w:uiPriority w:val="1"/>
    <w:basedOn w:val="Normal"/>
    <w:next w:val="List3"/>
    <w:pPr>
      <w:widowControl w:val="1"/>
      <w:ind w:left="108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
    <w:name w:val="List"/>
    <w:uiPriority w:val="1"/>
    <w:basedOn w:val="Normal"/>
    <w:next w:val="List"/>
    <w:pPr>
      <w:widowControl w:val="1"/>
      <w:ind w:left="36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2">
    <w:name w:val="List 2"/>
    <w:uiPriority w:val="1"/>
    <w:basedOn w:val="Normal"/>
    <w:next w:val="List2"/>
    <w:pPr>
      <w:widowControl w:val="1"/>
      <w:ind w:left="72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TOCHeading">
    <w:name w:val="TOC Heading"/>
    <w:uiPriority w:val="1"/>
    <w:basedOn w:val="Heading1"/>
    <w:next w:val="Normal"/>
    <w:pPr>
      <w:widowControl w:val="1"/>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BodyText">
    <w:name w:val="Body Text"/>
    <w:uiPriority w:val="1"/>
    <w:basedOn w:val="Normal"/>
    <w:next w:val="BodyText"/>
    <w:pPr>
      <w:spacing w:after="120.0"/>
      <w:widowControl w:val="1"/>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e120022d-bd48-ec0a-11ee-a3be788ae09f" Target="fonts/ArimoRegular.ttf" Type="http://schemas.openxmlformats.org/officeDocument/2006/relationships/font" /><Relationship Id="rId7991574c-8726-4998-dd9d-a9c5310949be"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