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BNetzA IT-Sicherheitskatalog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Germany’s energy sector IT security compliance with centralized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BNetzA IT-Sicherheitskatalog Compliance extension for Log360 helps German energy network operators meet the Federal Network Agency's IT Security Catalogue requirements for critical energy infrastructure.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energy management systems, SCADA environments, IT infrastructure, and network devices, providing security teams with continuous visibility into cybersecurity events affecting grid operations. Compliance teams can document ISMS control implementation and generate audit evidence for BNetzA submissions.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BNetzA IT-Sicherheitskatalog-aligned audit reports covering ISMS controls including access management, network monitoring, and incident detection for energy systems.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operational technology environments and IT systems for unauthorized access, configuration changes, and anomalies that may impact energy supply operations.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security events relevant to energy KRITIS obligations such as SCADA access violations and critical infrastructure intrusion indicators.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BNetzA auditor submissions and internal energy sector ISMS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BNetzA IT-Sicherheitskatalog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f4926096-6233-1beb-5458-b54142d3cc91" w:fontKey="{00000000-0000-0000-0000-000000000000}" w:subsetted="0"/>
  </w:font>
  <w:font w:name="Caladea Regular">
    <w:embedRegular xmlns:r="http://schemas.openxmlformats.org/officeDocument/2006/relationships" r:id="rIdcc63aac4-385e-8aef-dcc8-d3cb964acd5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
    <w:name w:val="List"/>
    <w:uiPriority w:val="1"/>
    <w:basedOn w:val="Normal"/>
    <w:next w:val="List"/>
    <w:p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BodyText">
    <w:name w:val="Body Text"/>
    <w:uiPriority w:val="1"/>
    <w:basedOn w:val="Normal"/>
    <w:next w:val="BodyText"/>
    <w:pPr>
      <w:spacing w:after="120.0"/>
      <w:widowControl w:val="1"/>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f4926096-6233-1beb-5458-b54142d3cc91" Target="fonts/ArimoRegular.ttf" Type="http://schemas.openxmlformats.org/officeDocument/2006/relationships/font"/><Relationship Id="rIdcc63aac4-385e-8aef-dcc8-d3cb964acd5b"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