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BTK Telecommunications Security Regulation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 Turkey’s telecom security compliance with log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BTK Telecommunications Security Regulation Compliance extension for Log360 enables Turkish telecom operators and electronic communications service providers to meet the cybersecurity and network security requirements imposed by the Information and Communication Technologies Authority (BTK).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ingests and correlates logs from telecommunications networks, access systems, and cloud platforms, providing security teams with visibility into network integrity events and access control activities. Compliance teams can detect security violations, maintain audit trails, and generate the documentation required for BTK inspections.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audit reports covering BTK telecommunications security requirements including network access logging, incident monitoring, and data protection controls.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network device events, authentication logs, and user activities across telecommunications infrastructure in real time.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real-time alerts for security events relevant to BTK obligations such as unauthorized network access and system configuration changes.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reports in PDF and CSV formats for BTK regulatory submissions and internal security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BTK Telecommunications Security Regulation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b9cf0315-9ec6-e820-d105-f4228d2e056d" w:fontKey="{00000000-0000-0000-0000-000000000000}" w:subsetted="0"/>
  </w:font>
  <w:font w:name="Caladea Regular">
    <w:embedRegular xmlns:r="http://schemas.openxmlformats.org/officeDocument/2006/relationships" r:id="rIdb25d8974-2781-008d-fc68-001efb4ff17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TOCHeading">
    <w:name w:val="TOC Heading"/>
    <w:uiPriority w:val="1"/>
    <w:basedOn w:val="Heading1"/>
    <w:next w:val="Normal"/>
    <w:pPr>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
    <w:name w:val="Body Text"/>
    <w:uiPriority w:val="1"/>
    <w:basedOn w:val="Normal"/>
    <w:next w:val="BodyText"/>
    <w:pPr>
      <w:spacing w:after="120.0"/>
      <w:widowControl w:val="1"/>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2">
    <w:name w:val="List 2"/>
    <w:uiPriority w:val="1"/>
    <w:basedOn w:val="Normal"/>
    <w:next w:val="List2"/>
    <w:pPr>
      <w:widowControl w:val="1"/>
      <w:ind w:left="72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b9cf0315-9ec6-e820-d105-f4228d2e056d" Target="fonts/ArimoRegular.ttf" Type="http://schemas.openxmlformats.org/officeDocument/2006/relationships/font"/><Relationship Id="rIdb25d8974-2781-008d-fc68-001efb4ff17e"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