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AgID Cloud Italia Qualification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Support security requirements under AgID Cloud Italia with cloud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AgID Cloud Italia Qualification Compliance extension for Log360 helps Italian public administrations and cloud service providers seeking or maintaining AgID Cloud Italia qualification meet the security monitoring, logging, and incident management requirements of the Italian cloud qualification framework.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correlates logs from cloud infrastructure, identity systems, applications, and network devices, providing security teams with continuous visibility into events affecting public sector cloud services. Compliance teams can monitor control effectiveness and generate audit-grade evidence for ACN and AgID qualification reviews.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compliance reports covering AgID Cloud Italia security requirements including access monitoring, cloud infrastructure events, and incident detection.</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cloud workload activity, user access patterns, and configuration changes across Italian public administration cloud environments in real time.</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Leverage CASB capabilities in Log360 to gain full visibility into cloud application usage and detect shadow IT in public sector environments.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qualification evidence in PDF and CSV formats for AgID assessments and internal public sector IT governance reviews.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AgID Cloud Italia Qualification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62c7d5ae-51a9-f8ea-88ee-c0273201c0a6" w:fontKey="{00000000-0000-0000-0000-000000000000}" w:subsetted="0"/>
  </w:font>
  <w:font w:name="Caladea Regular">
    <w:embedRegular xmlns:r="http://schemas.openxmlformats.org/officeDocument/2006/relationships" r:id="rId43609748-d588-2692-54c9-d0b8d1efc949"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3">
    <w:name w:val="List 3"/>
    <w:uiPriority w:val="1"/>
    <w:basedOn w:val="Normal"/>
    <w:next w:val="List3"/>
    <w:pPr>
      <w:widowControl w:val="1"/>
      <w:ind w:left="108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2">
    <w:name w:val="List 2"/>
    <w:uiPriority w:val="1"/>
    <w:basedOn w:val="Normal"/>
    <w:next w:val="List2"/>
    <w:pPr>
      <w:widowControl w:val="1"/>
      <w:ind w:left="720" w:hanging="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
    <w:name w:val="List"/>
    <w:uiPriority w:val="1"/>
    <w:basedOn w:val="Normal"/>
    <w:next w:val="List"/>
    <w:pPr>
      <w:widowControl w:val="1"/>
      <w:ind w:left="360" w:hanging="360"/>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TOCHeading">
    <w:name w:val="TOC Heading"/>
    <w:uiPriority w:val="1"/>
    <w:basedOn w:val="Heading1"/>
    <w:next w:val="Normal"/>
    <w:pPr>
      <w:widowControl w:val="1"/>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BodyText">
    <w:name w:val="Body Text"/>
    <w:uiPriority w:val="1"/>
    <w:basedOn w:val="Normal"/>
    <w:next w:val="BodyText"/>
    <w:pPr>
      <w:spacing w:after="120.0"/>
      <w:widowControl w:val="1"/>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62c7d5ae-51a9-f8ea-88ee-c0273201c0a6" Target="fonts/ArimoRegular.ttf" Type="http://schemas.openxmlformats.org/officeDocument/2006/relationships/font"/><Relationship Id="rId43609748-d588-2692-54c9-d0b8d1efc949"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