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KAIT - ZAIT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Satisfy BaFin's capital market with unified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KAIT / ZAIT (BaFin Capital Market IT / Payment Service IT) Compliance extension for Log360 helps German capital market service providers and payment institutions meet BaFin's IT supervisory requirements for IT governance, access management, and operational security.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correlates logs from trading systems, payment processing platforms, cloud environments, and identity systems, providing continuous monitoring of IT security events. Compliance and security teams can track privileged access, detect anomalies, and generate audit-grade documentation for BaFin examinations.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KAIT/ZAIT compliance reports covering IT governance controls, access management, and security incident monitoring for capital markets and payment services.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user access to trading and payment systems, detect unauthorized configuration changes, and track privileged operations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Continuously correlate security events across your IT environment to detect suspicious activity and policy violations aligned with KAIT/ZAIT incident detection and response obligations.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BaFin supervisory examinations and internal IT risk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KAIT / ZAIT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c8ca4b57-bf2c-9695-cd87-8147a88db1dc" w:fontKey="{00000000-0000-0000-0000-000000000000}" w:subsetted="0"/>
  </w:font>
  <w:font w:name="Caladea Regular">
    <w:embedRegular xmlns:r="http://schemas.openxmlformats.org/officeDocument/2006/relationships" r:id="rIdcf19e500-af2d-6cec-9b10-bef97820b59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0428984">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39236555">
    <w:abstractNumId w:val="30428984"/>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2">
    <w:name w:val="List Continue 2"/>
    <w:uiPriority w:val="1"/>
    <w:basedOn w:val="Normal"/>
    <w:next w:val="ListContinue2"/>
    <w:pPr>
      <w:spacing w:after="120.0"/>
      <w:widowControl w:val="1"/>
      <w:ind w:left="72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
    <w:name w:val="Body Text"/>
    <w:uiPriority w:val="1"/>
    <w:basedOn w:val="Normal"/>
    <w:next w:val="BodyText"/>
    <w:pPr>
      <w:spacing w:after="120.0"/>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3">
    <w:name w:val="List 3"/>
    <w:uiPriority w:val="1"/>
    <w:basedOn w:val="Normal"/>
    <w:next w:val="List3"/>
    <w:pPr>
      <w:widowControl w:val="1"/>
      <w:ind w:left="108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
    <w:name w:val="List"/>
    <w:uiPriority w:val="1"/>
    <w:basedOn w:val="Normal"/>
    <w:next w:val="List"/>
    <w:pPr>
      <w:widowControl w:val="1"/>
      <w:ind w:left="36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c8ca4b57-bf2c-9695-cd87-8147a88db1dc" Target="fonts/ArimoRegular.ttf" Type="http://schemas.openxmlformats.org/officeDocument/2006/relationships/font" /><Relationship Id="rIdcf19e500-af2d-6cec-9b10-bef97820b59b"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