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Italian National Framework for Cybersecurity and Data Protection 2025 Compliance for Log360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Tagline:</w:t>
      </w:r>
      <w:r w:rsidR="00000000" w:rsidDel="00000000" w:rsidRPr="00000000">
        <w:rPr/>
        <w:t xml:space="preserve"> Align with Italy's cybersecurity best practices using integrated monitoring from Log360.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/>
        <w:t xml:space="preserve">Overview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The Italian National Framework for Cybersecurity &amp; Data Protection 2025 Compliance extension for Log360 enables Italian organizations to align with ACN's updated national cybersecurity framework across risk management, data protection, and incident response domains. 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Log360 provides a unified view of security events across on-premises, cloud, and hybrid environments, enabling continuous monitoring and rapid incident response. Teams can map controls to framework categories, identify gaps, and maintain the evidence required for self-assessment and regulatory reviews.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/>
        <w:t xml:space="preserve">Key Features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Generate compliance reports mapped to Italian National Framework categories covering identify, protect, detect, respond, and recover functions.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Monitor user access events, data handling activities, and system changes across all IT environments in real time.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rPr>
          <w:shd w:fill="auto" w:val="clear" w:color="auto"/>
        </w:rPr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Centralize and correlate security events across your IT environment to surface threat patterns and suspicious activity aligned to the Italian National Cybersecurity Framework's detect and respond functions.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Export audit-ready evidence in PDF and CSV formats for internal risk assessments and external regulatory submissions.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1714500" cy="17145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367462" cy="2925591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67462" cy="2925591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/>
        <w:t xml:space="preserve">Screenshots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Valid Submission : Yes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Supported Editions : Free, Basic, Standard, Professional, MSSP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Help Document : https://www.manageengine.com/log-management/help/integrations/compliance-extensions.html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Help Video : Not provided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Tags : Log360, Compliance, Privacy monitoring, Data privacy, Regulatory compliance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Supported DCs : US, IN, JP, CA, AU, UK and EU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Privacy Policy: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Terms of Service: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Release Notes: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Predefined reports for the Italian National Framework for Cybersecurity &amp; Data Protection 2025 Compliance</w:t>
      </w:r>
    </w:p>
    <w:sectPr>
      <w:headerReference xmlns:r="http://schemas.openxmlformats.org/officeDocument/2006/relationships" r:id="rId12" w:type="default"/>
      <w:footerReference xmlns:r="http://schemas.openxmlformats.org/officeDocument/2006/relationships" r:id="rId13" w:type="default"/>
      <w:type w:val="nextPage"/>
      <w:pgSz w:w="12240" w:orient="portrait" w:h="15840"/>
      <w:pgMar w:header="720" w:bottom="1440" w:left="1800" w:right="1800" w:top="1440" w:footer="720" w:gutter="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Arimo Regular">
    <w:embedRegular xmlns:r="http://schemas.openxmlformats.org/officeDocument/2006/relationships" r:id="rId819bca3b-758d-05c7-da81-6f520d45d543" w:fontKey="{00000000-0000-0000-0000-000000000000}" w:subsetted="0"/>
  </w:font>
  <w:font w:name="Caladea Regular">
    <w:embedRegular xmlns:r="http://schemas.openxmlformats.org/officeDocument/2006/relationships" r:id="rIdf49d8b8d-5d0e-b72e-1371-2b25d4f8affa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tabs>
          <w:tab w:pos="1800" w:val="left" w:leader="none"/>
        </w:tabs>
        <w:widowControl w:val="1"/>
        <w:ind w:left="180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1">
    <w:lvl w:ilvl="0">
      <w:start w:val="1"/>
      <w:numFmt w:val="decimal"/>
      <w:lvlText w:val="%1."/>
      <w:lvlJc w:val="left"/>
      <w:pPr>
        <w:tabs>
          <w:tab w:pos="1440" w:val="left" w:leader="none"/>
        </w:tabs>
        <w:widowControl w:val="1"/>
        <w:ind w:left="144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2">
    <w:lvl w:ilvl="0">
      <w:start w:val="1"/>
      <w:numFmt w:val="decimal"/>
      <w:lvlText w:val="%1."/>
      <w:lvlJc w:val="left"/>
      <w:pPr>
        <w:tabs>
          <w:tab w:pos="1080" w:val="left" w:leader="none"/>
        </w:tabs>
        <w:widowControl w:val="1"/>
        <w:ind w:left="108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3">
    <w:lvl w:ilvl="0">
      <w:start w:val="1"/>
      <w:numFmt w:val="decimal"/>
      <w:lvlText w:val="%1."/>
      <w:lvlJc w:val="left"/>
      <w:pPr>
        <w:tabs>
          <w:tab w:pos="720" w:val="left" w:leader="none"/>
        </w:tabs>
        <w:widowControl w:val="1"/>
        <w:ind w:left="72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4">
    <w:lvl w:ilvl="0">
      <w:start w:val="1"/>
      <w:numFmt w:val="bullet"/>
      <w:lvlText w:val="•"/>
      <w:lvlJc w:val="left"/>
      <w:pPr>
        <w:tabs>
          <w:tab w:pos="1440" w:val="left" w:leader="none"/>
        </w:tabs>
        <w:widowControl w:val="1"/>
        <w:ind w:left="144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5">
    <w:lvl w:ilvl="0">
      <w:start w:val="1"/>
      <w:numFmt w:val="bullet"/>
      <w:lvlText w:val="•"/>
      <w:lvlJc w:val="left"/>
      <w:pPr>
        <w:tabs>
          <w:tab w:pos="1080" w:val="left" w:leader="none"/>
        </w:tabs>
        <w:widowControl w:val="1"/>
        <w:ind w:left="108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6">
    <w:lvl w:ilvl="0">
      <w:start w:val="1"/>
      <w:numFmt w:val="bullet"/>
      <w:lvlText w:val="•"/>
      <w:lvlJc w:val="left"/>
      <w:pPr>
        <w:tabs>
          <w:tab w:pos="720" w:val="left" w:leader="none"/>
        </w:tabs>
        <w:widowControl w:val="1"/>
        <w:ind w:left="72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7">
    <w:lvl w:ilvl="0">
      <w:start w:val="1"/>
      <w:numFmt w:val="decimal"/>
      <w:lvlText w:val="%1."/>
      <w:lvlJc w:val="left"/>
      <w:pPr>
        <w:tabs>
          <w:tab w:pos="360" w:val="left" w:leader="none"/>
        </w:tabs>
        <w:widowControl w:val="1"/>
        <w:ind w:left="36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8">
    <w:lvl w:ilvl="0">
      <w:start w:val="1"/>
      <w:numFmt w:val="bullet"/>
      <w:lvlText w:val="•"/>
      <w:lvlJc w:val="left"/>
      <w:pPr>
        <w:tabs>
          <w:tab w:pos="360" w:val="left" w:leader="none"/>
        </w:tabs>
        <w:widowControl w:val="1"/>
        <w:ind w:left="36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Cambria" w:eastAsia="Cambria" w:hAnsi="Cambria" w:cs="Cambria"/>
        <w:sz w:val="22"/>
      </w:rPr>
    </w:rPrDefault>
    <w:pPrDefault>
      <w:pPr>
        <w:spacing w:line="275.9999942779541" w:lineRule="auto" w:after="200.0"/>
        <w:widowControl w:val="1"/>
      </w:pPr>
    </w:pPrDefault>
  </w:docDefaults>
  <w:style w:type="paragraph" w:styleId="ListContinue">
    <w:name w:val="List Continue"/>
    <w:uiPriority w:val="1"/>
    <w:basedOn w:val="Normal"/>
    <w:next w:val="ListContinue"/>
    <w:pPr>
      <w:spacing w:after="120.0"/>
      <w:widowControl w:val="1"/>
      <w:ind w:left="360"/>
    </w:pPr>
    <w:rPr/>
    <w:unhideWhenUsed/>
    <w:qFormat/>
  </w:style>
  <w:style w:type="paragraph" w:styleId="caption">
    <w:name w:val="caption"/>
    <w:uiPriority w:val="1"/>
    <w:basedOn w:val="Normal"/>
    <w:next w:val="Normal"/>
    <w:pPr>
      <w:spacing w:line="240.0" w:lineRule="auto"/>
      <w:widowControl w:val="1"/>
    </w:pPr>
    <w:rPr>
      <w:b w:val="true"/>
      <w:color w:val="4F81BD" w:themeColor="accent1"/>
      <w:sz w:val="18"/>
    </w:rPr>
    <w:unhideWhenUsed/>
    <w:qFormat/>
  </w:style>
  <w:style w:type="paragraph" w:styleId="List">
    <w:name w:val="List"/>
    <w:uiPriority w:val="1"/>
    <w:basedOn w:val="Normal"/>
    <w:next w:val="List"/>
    <w:pPr>
      <w:widowControl w:val="1"/>
      <w:ind w:left="360" w:hanging="360"/>
    </w:pPr>
    <w:rPr/>
    <w:unhideWhenUsed/>
    <w:qFormat/>
  </w:style>
  <w:style w:type="paragraph" w:styleId="ListNumber">
    <w:name w:val="List Number"/>
    <w:uiPriority w:val="1"/>
    <w:basedOn w:val="Normal"/>
    <w:next w:val="ListNumber"/>
    <w:pPr>
      <w:tabs>
        <w:tab w:pos="360" w:val="left" w:leader="none"/>
      </w:tabs>
      <w:numPr>
        <w:ilvl w:val="0"/>
        <w:numId w:val="5"/>
      </w:numPr>
      <w:widowControl w:val="1"/>
      <w:ind w:left="360" w:hanging="360"/>
    </w:pPr>
    <w:rPr/>
    <w:unhideWhenUsed/>
    <w:qFormat/>
  </w:style>
  <w:style w:type="paragraph" w:default="1" w:styleId="Normal">
    <w:name w:val="Normal"/>
    <w:uiPriority w:val="1"/>
    <w:next w:val="Normal"/>
    <w:pPr>
      <w:spacing w:line="275.9999942779541" w:lineRule="auto" w:after="200.0"/>
      <w:widowControl w:val="1"/>
    </w:pPr>
    <w:rPr>
      <w:rFonts w:ascii="Cambria" w:eastAsia="Cambria" w:hAnsi="Cambria" w:cs="Cambria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keepNext w:val="1"/>
      <w:keepLines w:val="1"/>
      <w:spacing w:after="0.0" w:before="480.0"/>
      <w:widowControl w:val="1"/>
    </w:pPr>
    <w:rPr>
      <w:b w:val="true"/>
      <w:rFonts w:ascii="Calibri" w:eastAsia="Calibri" w:hAnsi="Calibri" w:cs="Calibri"/>
      <w:color w:val="4F81BD" w:themeColor="accent1" w:themeShade="BF"/>
      <w:sz w:val="28"/>
    </w:rPr>
    <w:aliases w:val="heading 1"/>
    <w:unhideWhenUsed/>
    <w:qFormat/>
  </w:style>
  <w:style w:type="paragraph" w:styleId="List3">
    <w:name w:val="List 3"/>
    <w:uiPriority w:val="1"/>
    <w:basedOn w:val="Normal"/>
    <w:next w:val="List3"/>
    <w:pPr>
      <w:widowControl w:val="1"/>
      <w:ind w:left="1080" w:hanging="360"/>
    </w:pPr>
    <w:rPr/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  <w:sz w:val="26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i w:val="true"/>
      <w:color w:val="4F81BD" w:themeColor="accent1"/>
    </w:rPr>
    <w:aliases w:val="heading 4"/>
    <w:unhideWhenUsed/>
    <w:qFormat/>
  </w:style>
  <w:style w:type="paragraph" w:styleId="TOCHeading">
    <w:name w:val="TOC Heading"/>
    <w:uiPriority w:val="1"/>
    <w:basedOn w:val="Heading1"/>
    <w:next w:val="Normal"/>
    <w:pPr>
      <w:widowControl w:val="1"/>
    </w:pPr>
    <w:rPr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 w:themeShade="7F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4F81BD" w:themeColor="accent1" w:themeShade="7F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</w:rPr>
    <w:aliases w:val="heading 7"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/>
      <w:sz w:val="20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  <w:sz w:val="20"/>
    </w:rPr>
    <w:aliases w:val="heading 9"/>
    <w:unhideWhenUsed/>
    <w:qFormat/>
  </w:style>
  <w:style w:type="paragraph" w:styleId="macro">
    <w:name w:val="macro"/>
    <w:uiPriority w:val="1"/>
    <w:next w:val="macro"/>
    <w:pPr>
      <w:tabs>
        <w:tab w:pos="576" w:val="left" w:leader="none"/>
        <w:tab w:pos="1152" w:val="left" w:leader="none"/>
        <w:tab w:pos="1728" w:val="left" w:leader="none"/>
        <w:tab w:pos="2304" w:val="left" w:leader="none"/>
        <w:tab w:pos="2880" w:val="left" w:leader="none"/>
        <w:tab w:pos="3456" w:val="left" w:leader="none"/>
        <w:tab w:pos="4032" w:val="left" w:leader="none"/>
      </w:tabs>
      <w:widowControl w:val="1"/>
    </w:pPr>
    <w:rPr>
      <w:rFonts w:ascii="Courier" w:eastAsia="Courier" w:hAnsi="Courier" w:cs="Courier"/>
      <w:sz w:val="20"/>
    </w:rPr>
    <w:unhideWhenUsed/>
    <w:qFormat/>
  </w:style>
  <w:style w:type="paragraph" w:styleId="footer">
    <w:name w:val="footer"/>
    <w:uiPriority w:val="1"/>
    <w:basedOn w:val="Normal"/>
    <w:next w:val="foot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ListContinue2">
    <w:name w:val="List Continue 2"/>
    <w:uiPriority w:val="1"/>
    <w:basedOn w:val="Normal"/>
    <w:next w:val="ListContinue2"/>
    <w:pPr>
      <w:spacing w:after="120.0"/>
      <w:widowControl w:val="1"/>
      <w:ind w:left="720"/>
    </w:pPr>
    <w:rPr/>
    <w:unhideWhenUsed/>
    <w:qFormat/>
  </w:style>
  <w:style w:type="paragraph" w:styleId="h112">
    <w:name w:val="Subtitle"/>
    <w:uiPriority w:val="1"/>
    <w:basedOn w:val="Normal"/>
    <w:next w:val="Normal"/>
    <w:pPr>
      <w:widowControl w:val="1"/>
    </w:pPr>
    <w:rPr>
      <w:rFonts w:ascii="Calibri" w:eastAsia="Calibri" w:hAnsi="Calibri" w:cs="Calibri"/>
      <w:i w:val="true"/>
      <w:color w:val="4F81BD" w:themeColor="accent1"/>
      <w:spacing w:val="0"/>
      <w:sz w:val="24"/>
    </w:rPr>
    <w:unhideWhenUsed/>
    <w:qFormat/>
  </w:style>
  <w:style w:type="paragraph" w:styleId="header">
    <w:name w:val="header"/>
    <w:uiPriority w:val="1"/>
    <w:basedOn w:val="Normal"/>
    <w:next w:val="head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BodyText">
    <w:name w:val="Body Text"/>
    <w:uiPriority w:val="1"/>
    <w:basedOn w:val="Normal"/>
    <w:next w:val="BodyText"/>
    <w:pPr>
      <w:spacing w:after="120.0"/>
      <w:widowControl w:val="1"/>
    </w:pPr>
    <w:rPr/>
    <w:unhideWhenUsed/>
    <w:qFormat/>
  </w:style>
  <w:style w:type="paragraph" w:styleId="BodyText2">
    <w:name w:val="Body Text 2"/>
    <w:uiPriority w:val="1"/>
    <w:basedOn w:val="Normal"/>
    <w:next w:val="BodyText2"/>
    <w:pPr>
      <w:spacing w:line="480.0" w:lineRule="auto" w:after="120.0"/>
      <w:widowControl w:val="1"/>
    </w:pPr>
    <w:rPr/>
    <w:unhideWhenUsed/>
    <w:qFormat/>
  </w:style>
  <w:style w:type="paragraph" w:styleId="ListNumber3">
    <w:name w:val="List Number 3"/>
    <w:uiPriority w:val="1"/>
    <w:basedOn w:val="Normal"/>
    <w:next w:val="ListNumber3"/>
    <w:pPr>
      <w:tabs>
        <w:tab w:pos="1080" w:val="left" w:leader="none"/>
      </w:tabs>
      <w:numPr>
        <w:ilvl w:val="0"/>
        <w:numId w:val="7"/>
      </w:numPr>
      <w:widowControl w:val="1"/>
      <w:ind w:left="1080" w:hanging="360"/>
    </w:pPr>
    <w:rPr/>
    <w:unhideWhenUsed/>
    <w:qFormat/>
  </w:style>
  <w:style w:type="paragraph" w:styleId="ListBullet">
    <w:name w:val="List Bullet"/>
    <w:uiPriority w:val="1"/>
    <w:basedOn w:val="Normal"/>
    <w:next w:val="ListBullet"/>
    <w:pPr>
      <w:tabs>
        <w:tab w:pos="360" w:val="left" w:leader="none"/>
      </w:tabs>
      <w:numPr>
        <w:ilvl w:val="0"/>
        <w:numId w:val="1"/>
      </w:numPr>
      <w:widowControl w:val="1"/>
      <w:ind w:left="360" w:hanging="360"/>
    </w:pPr>
    <w:rPr/>
    <w:unhideWhenUsed/>
    <w:qFormat/>
  </w:style>
  <w:style w:type="paragraph" w:styleId="ListContinue3">
    <w:name w:val="List Continue 3"/>
    <w:uiPriority w:val="1"/>
    <w:basedOn w:val="Normal"/>
    <w:next w:val="ListContinue3"/>
    <w:pPr>
      <w:spacing w:after="120.0"/>
      <w:widowControl w:val="1"/>
      <w:ind w:left="1080"/>
    </w:pPr>
    <w:rPr/>
    <w:unhideWhenUsed/>
    <w:qFormat/>
  </w:style>
  <w:style w:type="paragraph" w:styleId="BodyText3">
    <w:name w:val="Body Text 3"/>
    <w:uiPriority w:val="1"/>
    <w:basedOn w:val="Normal"/>
    <w:next w:val="BodyText3"/>
    <w:pPr>
      <w:spacing w:after="120.0"/>
      <w:widowControl w:val="1"/>
    </w:pPr>
    <w:rPr>
      <w:sz w:val="16"/>
    </w:rPr>
    <w:unhideWhenUsed/>
    <w:qFormat/>
  </w:style>
  <w:style w:type="paragraph" w:styleId="List2">
    <w:name w:val="List 2"/>
    <w:uiPriority w:val="1"/>
    <w:basedOn w:val="Normal"/>
    <w:next w:val="List2"/>
    <w:pPr>
      <w:widowControl w:val="1"/>
      <w:ind w:left="720" w:hanging="360"/>
    </w:pPr>
    <w:rPr/>
    <w:unhideWhenUsed/>
    <w:qFormat/>
  </w:style>
  <w:style w:type="paragraph" w:styleId="Title">
    <w:name w:val="Title"/>
    <w:uiPriority w:val="1"/>
    <w:basedOn w:val="Normal"/>
    <w:next w:val="Normal"/>
    <w:pPr>
      <w:spacing w:line="240.0" w:lineRule="auto" w:after="300.0"/>
      <w:pBdr>
        <w:bottom w:val="single" w:color="4F81BD" w:themeColor="accent1" w:sz="7" w:space="4"/>
      </w:pBdr>
      <w:widowControl w:val="1"/>
    </w:pPr>
    <w:rPr>
      <w:rFonts w:ascii="Calibri" w:eastAsia="Calibri" w:hAnsi="Calibri" w:cs="Calibri"/>
      <w:color w:val="1F497D" w:themeColor="dark2" w:themeShade="BF"/>
      <w:spacing w:val="0"/>
      <w:sz w:val="52"/>
    </w:rPr>
    <w:aliases w:val="Title"/>
    <w:unhideWhenUsed/>
    <w:qFormat/>
  </w:style>
  <w:style w:type="paragraph" w:styleId="ListNumber2">
    <w:name w:val="List Number 2"/>
    <w:uiPriority w:val="1"/>
    <w:basedOn w:val="Normal"/>
    <w:next w:val="ListNumber2"/>
    <w:pPr>
      <w:tabs>
        <w:tab w:pos="720" w:val="left" w:leader="none"/>
      </w:tabs>
      <w:numPr>
        <w:ilvl w:val="0"/>
        <w:numId w:val="6"/>
      </w:numPr>
      <w:widowControl w:val="1"/>
      <w:ind w:left="720" w:hanging="360"/>
    </w:pPr>
    <w:rPr/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widowControl w:val="1"/>
    </w:pPr>
    <w:rPr>
      <w:i w:val="true"/>
      <w:color w:val="000000" w:themeColor="dark1"/>
    </w:rPr>
    <w:aliases w:val="Quote"/>
    <w:unhideWhenUsed/>
    <w:qFormat/>
  </w:style>
  <w:style w:type="paragraph" w:styleId="IntenseQuote">
    <w:name w:val="Intense Quote"/>
    <w:uiPriority w:val="1"/>
    <w:basedOn w:val="Normal"/>
    <w:next w:val="Normal"/>
    <w:pPr>
      <w:spacing w:after="280.0" w:before="200.0"/>
      <w:pBdr>
        <w:bottom w:val="single" w:color="4F81BD" w:themeColor="accent1" w:sz="6" w:space="4"/>
      </w:pBdr>
      <w:widowControl w:val="1"/>
      <w:ind w:left="936" w:right="936"/>
    </w:pPr>
    <w:rPr>
      <w:b w:val="true"/>
      <w:i w:val="true"/>
      <w:color w:val="4F81BD" w:themeColor="accent1"/>
    </w:rPr>
    <w:aliases w:val="Intense Quote"/>
    <w:unhideWhenUsed/>
    <w:qFormat/>
  </w:style>
  <w:style w:type="paragraph" w:styleId="ListBullet2">
    <w:name w:val="List Bullet 2"/>
    <w:uiPriority w:val="1"/>
    <w:basedOn w:val="Normal"/>
    <w:next w:val="ListBullet2"/>
    <w:pPr>
      <w:tabs>
        <w:tab w:pos="720" w:val="left" w:leader="none"/>
      </w:tabs>
      <w:numPr>
        <w:ilvl w:val="0"/>
        <w:numId w:val="2"/>
      </w:numPr>
      <w:widowControl w:val="1"/>
      <w:ind w:left="720" w:hanging="360"/>
    </w:pPr>
    <w:rPr/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next w:val="NoSpacing"/>
    <w:pPr>
      <w:spacing w:line="240.0" w:lineRule="auto" w:after="0.0"/>
      <w:widowControl w:val="1"/>
    </w:pPr>
    <w:rPr/>
    <w:aliases w:val="No Spacing"/>
    <w:unhideWhenUsed/>
    <w:qFormat/>
  </w:style>
  <w:style w:type="paragraph" w:styleId="ListBullet3">
    <w:name w:val="List Bullet 3"/>
    <w:uiPriority w:val="1"/>
    <w:basedOn w:val="Normal"/>
    <w:next w:val="ListBullet3"/>
    <w:pPr>
      <w:tabs>
        <w:tab w:pos="1080" w:val="left" w:leader="none"/>
      </w:tabs>
      <w:numPr>
        <w:ilvl w:val="0"/>
        <w:numId w:val="3"/>
      </w:numPr>
      <w:widowControl w:val="1"/>
      <w:ind w:left="1080" w:hanging="360"/>
    </w:pPr>
    <w:rPr/>
    <w:unhideWhenUsed/>
    <w:qFormat/>
  </w:style>
  <w:style w:type="character" w:styleId="BodyTextChar">
    <w:name w:val="Body Text Char"/>
    <w:uiPriority w:val="1"/>
    <w:basedOn w:val="DefaultParagraphFont"/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="Calibri" w:eastAsia="Calibri" w:hAnsi="Calibri" w:cs="Calibri"/>
      <w:i w:val="true"/>
      <w:color w:val="4F81BD" w:themeColor="accent1"/>
    </w:rPr>
    <w:aliases w:val="Heading 4 Char"/>
    <w:unhideWhenUsed/>
    <w:qFormat/>
  </w:style>
  <w:style w:type="character" w:styleId="BodyText2Char">
    <w:name w:val="Body Text 2 Char"/>
    <w:uiPriority w:val="1"/>
    <w:basedOn w:val="DefaultParagraphFont"/>
    <w:rPr/>
    <w:unhideWhenUsed/>
    <w:qFormat/>
  </w:style>
  <w:style w:type="character" w:styleId="Heading9Char">
    <w:name w:val="Heading 9 Char"/>
    <w:uiPriority w:val="1"/>
    <w:basedOn w:val="DefaultParagraphFont"/>
    <w:link w:val="Heading9"/>
    <w:rPr>
      <w:rFonts w:ascii="Calibri" w:eastAsia="Calibri" w:hAnsi="Calibri" w:cs="Calibri"/>
      <w:i w:val="true"/>
      <w:color w:val="000000" w:themeColor="dark1" w:themeTint="Bf"/>
      <w:sz w:val="20"/>
    </w:rPr>
    <w:aliases w:val="Heading 9 Char"/>
    <w:unhideWhenUsed/>
    <w:qFormat/>
  </w:style>
  <w:style w:type="character" w:styleId="BodyText3Char">
    <w:name w:val="Body Text 3 Char"/>
    <w:uiPriority w:val="1"/>
    <w:basedOn w:val="DefaultParagraphFont"/>
    <w:rPr>
      <w:sz w:val="16"/>
    </w:rPr>
    <w:unhideWhenUsed/>
    <w:qFormat/>
  </w:style>
  <w:style w:type="character" w:styleId="MacroTextChar">
    <w:name w:val="Macro Text Char"/>
    <w:uiPriority w:val="1"/>
    <w:basedOn w:val="DefaultParagraphFont"/>
    <w:rPr>
      <w:rFonts w:ascii="Courier" w:eastAsia="Courier" w:hAnsi="Courier" w:cs="Courier"/>
      <w:sz w:val="20"/>
    </w:rPr>
    <w:unhideWhenUsed/>
    <w:qFormat/>
  </w:style>
  <w:style w:type="character" w:styleId="QuoteChar">
    <w:name w:val="Quote Char"/>
    <w:uiPriority w:val="1"/>
    <w:basedOn w:val="DefaultParagraphFont"/>
    <w:rPr>
      <w:i w:val="true"/>
      <w:color w:val="000000" w:themeColor="dark1"/>
    </w:rPr>
    <w:unhideWhenUsed/>
    <w:qFormat/>
  </w:style>
  <w:style w:type="character" w:styleId="IntenseQuoteChar">
    <w:name w:val="Intense Quote Char"/>
    <w:uiPriority w:val="1"/>
    <w:basedOn w:val="DefaultParagraphFont"/>
    <w:rPr>
      <w:b w:val="true"/>
      <w:i w:val="true"/>
      <w:color w:val="4F81BD" w:themeColor="accent1"/>
    </w:rPr>
    <w:unhideWhenUsed/>
    <w:qFormat/>
  </w:style>
  <w:style w:type="character" w:styleId="SubtitleChar">
    <w:name w:val="Subtitle Char"/>
    <w:uiPriority w:val="1"/>
    <w:basedOn w:val="DefaultParagraphFont"/>
    <w:rPr>
      <w:rFonts w:ascii="Calibri" w:eastAsia="Calibri" w:hAnsi="Calibri" w:cs="Calibri"/>
      <w:i w:val="true"/>
      <w:color w:val="4F81BD" w:themeColor="accent1"/>
      <w:spacing w:val="0"/>
      <w:sz w:val="24"/>
    </w:rPr>
    <w:aliases w:val="Subtitle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rFonts w:ascii="Calibri" w:eastAsia="Calibri" w:hAnsi="Calibri" w:cs="Calibri"/>
      <w:color w:val="4F81BD" w:themeColor="accent1"/>
      <w:sz w:val="20"/>
    </w:rPr>
    <w:aliases w:val="Heading 8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="Calibri" w:eastAsia="Calibri" w:hAnsi="Calibri" w:cs="Calibri"/>
      <w:color w:val="4F81BD" w:themeColor="accent1" w:themeShade="BF"/>
      <w:sz w:val="28"/>
    </w:rPr>
    <w:aliases w:val="Heading 1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="Calibri" w:eastAsia="Calibri" w:hAnsi="Calibri" w:cs="Calibri"/>
      <w:color w:val="4F81BD" w:themeColor="accent1" w:themeShade="7F"/>
    </w:rPr>
    <w:aliases w:val="Heading 5 Char"/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aliases w:val="Default Paragraph Font"/>
    <w:unhideWhenUsed/>
    <w:qFormat/>
  </w:style>
  <w:style w:type="character" w:styleId="HeaderChar">
    <w:name w:val="Header Char"/>
    <w:uiPriority w:val="1"/>
    <w:basedOn w:val="DefaultParagraphFont"/>
    <w:rPr/>
    <w:unhideWhenUsed/>
    <w:qFormat/>
  </w:style>
  <w:style w:type="character" w:styleId="FooterChar">
    <w:name w:val="Footer Char"/>
    <w:uiPriority w:val="1"/>
    <w:basedOn w:val="DefaultParagraphFont"/>
    <w:rPr/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="Calibri" w:eastAsia="Calibri" w:hAnsi="Calibri" w:cs="Calibri"/>
      <w:color w:val="4F81BD" w:themeColor="accent1"/>
      <w:sz w:val="26"/>
    </w:rPr>
    <w:aliases w:val="Heading 2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="Calibri" w:eastAsia="Calibri" w:hAnsi="Calibri" w:cs="Calibri"/>
      <w:i w:val="true"/>
      <w:color w:val="4F81BD" w:themeColor="accent1" w:themeShade="7F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i w:val="true"/>
      <w:color w:val="000000" w:themeColor="dark1" w:themeTint="7f"/>
    </w:rPr>
    <w:aliases w:val="Subtle Emphasis"/>
    <w:unhideWhenUsed/>
    <w:qFormat/>
  </w:style>
  <w:style w:type="character" w:styleId="Emphasis">
    <w:name w:val="Emphasis"/>
    <w:uiPriority w:val="1"/>
    <w:basedOn w:val="DefaultParagraphFont"/>
    <w:rPr>
      <w:i w:val="true"/>
    </w:rPr>
    <w:aliases w:val="Emphasis"/>
    <w:unhideWhenUsed/>
    <w:qFormat/>
  </w:style>
  <w:style w:type="character" w:styleId="IntenseEmphasis">
    <w:name w:val="Intense Emphasis"/>
    <w:uiPriority w:val="1"/>
    <w:basedOn w:val="DefaultParagraphFont"/>
    <w:rPr>
      <w:b w:val="true"/>
      <w:i w:val="true"/>
      <w:color w:val="4F81BD" w:themeColor="accent1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rFonts w:ascii="Calibri" w:eastAsia="Calibri" w:hAnsi="Calibri" w:cs="Calibri"/>
      <w:color w:val="1F497D" w:themeColor="dark2" w:themeShade="BF"/>
      <w:spacing w:val="0"/>
      <w:sz w:val="52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</w:rPr>
    <w:aliases w:val="Strong"/>
    <w:unhideWhenUsed/>
    <w:qFormat/>
  </w:style>
  <w:style w:type="character" w:styleId="SubtleReference">
    <w:name w:val="Subtle Reference"/>
    <w:uiPriority w:val="1"/>
    <w:basedOn w:val="DefaultParagraphFont"/>
    <w:rPr>
      <w:color w:val="C0504D" w:themeColor="accent2"/>
      <w:u w:val="single"/>
      <w:smallCaps/>
    </w:rPr>
    <w:aliases w:val="Subtle Reference"/>
    <w:unhideWhenUsed/>
    <w:qFormat/>
  </w:style>
  <w:style w:type="character" w:styleId="IntenseReference">
    <w:name w:val="Intense Reference"/>
    <w:uiPriority w:val="1"/>
    <w:basedOn w:val="DefaultParagraphFont"/>
    <w:rPr>
      <w:b w:val="true"/>
      <w:color w:val="C0504D" w:themeColor="accent2"/>
      <w:spacing w:val="0"/>
      <w:u w:val="single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spacing w:val="0"/>
      <w:smallCaps/>
    </w:rPr>
    <w:aliases w:val="Book Title"/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="Calibri" w:eastAsia="Calibri" w:hAnsi="Calibri" w:cs="Calibri"/>
      <w:i w:val="true"/>
      <w:color w:val="000000" w:themeColor="dark1" w:themeTint="Bf"/>
    </w:rPr>
    <w:aliases w:val="Heading 7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="Calibri" w:eastAsia="Calibri" w:hAnsi="Calibri" w:cs="Calibri"/>
      <w:color w:val="4F81BD" w:themeColor="accent1"/>
    </w:rPr>
    <w:aliases w:val="Heading 3 Char"/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media/image1.png" Type="http://schemas.openxmlformats.org/officeDocument/2006/relationships/image" /><Relationship Id="rId7" Target="media/image2.png" Type="http://schemas.openxmlformats.org/officeDocument/2006/relationships/image" /><Relationship Id="rId8" Target="media/image3.png" Type="http://schemas.openxmlformats.org/officeDocument/2006/relationships/image" /><Relationship Id="rId9" Target="media/image4.png" Type="http://schemas.openxmlformats.org/officeDocument/2006/relationships/image" /><Relationship Id="rId10" Target="media/image5.png" Type="http://schemas.openxmlformats.org/officeDocument/2006/relationships/image" /><Relationship Id="rId11" Target="media/image6.png" Type="http://schemas.openxmlformats.org/officeDocument/2006/relationships/image" /><Relationship Id="rId12" Target="header1.xml" Type="http://schemas.openxmlformats.org/officeDocument/2006/relationships/header" /><Relationship Id="rId13" Target="footer2.xml" Type="http://schemas.openxmlformats.org/officeDocument/2006/relationships/footer" /></Relationships>
</file>

<file path=word/_rels/fontTable.xml.rels><?xml version='1.0' encoding='UTF-8' ?><Relationships xmlns="http://schemas.openxmlformats.org/package/2006/relationships"><Relationship Id="rId819bca3b-758d-05c7-da81-6f520d45d543" Target="fonts/ArimoRegular.ttf" Type="http://schemas.openxmlformats.org/officeDocument/2006/relationships/font" /><Relationship Id="rIdf49d8b8d-5d0e-b72e-1371-2b25d4f8affa" Target="fonts/CaladeaRegular.ttf" Type="http://schemas.openxmlformats.org/officeDocument/2006/relationships/font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