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BAIT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BaFin's requirements for banks with comprehensive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BAIT (BaFin Supervisory Requirements for IT in Banks) Compliance extension for Log360 helps German credit institutions meet BaFin's requirements for IT governance, access management, IT operations security, and incident management as defined in BAIT.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 data from banking applications, core systems, cloud platforms, and network infrastructure, providing continuous monitoring of IT security events. Compliance and IT security teams can track user access, detect anomalies, and generate the audit-ready evidence required for BaFin inspections and internal IT audits.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BAIT compliance reports covering IT operations security, identity and access management, and security incident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activities, system configuration changes, and access to critical banking applications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Continuously correlate security events across your IT environment to detect suspicious activity and policy violations aligned with BAIT incident detection and response obligations.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for BaFin supervisory examinations and internal IT risk committee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BAIT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d02916b-0010-767e-ff8a-e2ef64aef857" w:fontKey="{00000000-0000-0000-0000-000000000000}" w:subsetted="0"/>
  </w:font>
  <w:font w:name="Caladea Regular">
    <w:embedRegular xmlns:r="http://schemas.openxmlformats.org/officeDocument/2006/relationships" r:id="rId4ab5f06e-d1f6-57a2-04dd-879a7a68e29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5074190">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41028712">
    <w:abstractNumId w:val="3507419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BodyText">
    <w:name w:val="Body Text"/>
    <w:uiPriority w:val="1"/>
    <w:basedOn w:val="Normal"/>
    <w:next w:val="BodyText"/>
    <w:pPr>
      <w:spacing w:after="120.0"/>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2">
    <w:name w:val="List 2"/>
    <w:uiPriority w:val="1"/>
    <w:basedOn w:val="Normal"/>
    <w:next w:val="List2"/>
    <w:p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0d02916b-0010-767e-ff8a-e2ef64aef857" Target="fonts/ArimoRegular.ttf" Type="http://schemas.openxmlformats.org/officeDocument/2006/relationships/font"/><Relationship Id="rId4ab5f06e-d1f6-57a2-04dd-879a7a68e293"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