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NABIDH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NABIDH health data compliance with continuous monitoring and reporting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NABIDH (Dubai Unified Health Record) Compliance extension for Log360 helps Dubai healthcare providers and digital health platforms meet the data security, access control, and audit requirements established by the Dubai Health Authority under the NABIDH framework.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ingests and analyzes logs from health information systems, cloud services, and network infrastructure, providing security teams with full visibility into patient data access and transmission events. Compliance teams can rapidly detect policy violations, investigate incidents, and generate reports demonstrating adherence to NABIDH data governance obligations.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mapped to NABIDH data access and security requirements, covering health record access, user authentication, and data transmission events.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access to patient health records across integrated systems, detecting unauthorized queries, bulk exports, and data sharing violations.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threshold-based alerts for critical NABIDH compliance events such as unauthorized access to sensitive health data and audit log modifications.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to support DHA audits and internal healthcare data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NABIDH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35b6961b-992a-560c-ce6e-56a46a5b9f2e" w:fontKey="{00000000-0000-0000-0000-000000000000}" w:subsetted="0"/>
  </w:font>
  <w:font w:name="Caladea Regular">
    <w:embedRegular xmlns:r="http://schemas.openxmlformats.org/officeDocument/2006/relationships" r:id="rIdab8f39d1-e939-34fe-51dc-3357b3c6835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3">
    <w:name w:val="List 3"/>
    <w:uiPriority w:val="1"/>
    <w:basedOn w:val="Normal"/>
    <w:next w:val="List3"/>
    <w:pPr>
      <w:widowControl w:val="1"/>
      <w:ind w:left="108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BodyText">
    <w:name w:val="Body Text"/>
    <w:uiPriority w:val="1"/>
    <w:basedOn w:val="Normal"/>
    <w:next w:val="BodyText"/>
    <w:pPr>
      <w:spacing w:after="120.0"/>
      <w:widowControl w:val="1"/>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
    <w:name w:val="List"/>
    <w:uiPriority w:val="1"/>
    <w:basedOn w:val="Normal"/>
    <w:next w:val="List"/>
    <w:pPr>
      <w:widowControl w:val="1"/>
      <w:ind w:left="36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TOCHeading">
    <w:name w:val="TOC Heading"/>
    <w:uiPriority w:val="1"/>
    <w:basedOn w:val="Heading1"/>
    <w:next w:val="Normal"/>
    <w:pPr>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35b6961b-992a-560c-ce6e-56a46a5b9f2e" Target="fonts/ArimoRegular.ttf" Type="http://schemas.openxmlformats.org/officeDocument/2006/relationships/font"/><Relationship Id="rIdab8f39d1-e939-34fe-51dc-3357b3c6835d"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