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Presidential Information and Communication Security Guide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Turkey’s cybersecurity compliance with centralized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Presidential Information and Communication Security Guide Compliance extension for Log360 helps Turkish public institutions and state enterprises meet the cybersecurity controls and information security management requirements prescribed by Turkey's Presidential Cybersecurity Authority.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government IT systems, cloud environments, network infrastructure, and identity platforms, providing security teams with continuous visibility into security events. Compliance teams can monitor control effectiveness, detect threats, and generate audit documentation for Presidential Cybersecurity Authority reviews.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compliance reports covering Presidential Guide security controls including access management, network monitoring, data protection, and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authentication events, privileged access activities, and system changes across Turkish public institution IT environments in real time.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threshold-based alerts for guide-relevant security events such as unauthorized access, account privilege escalations, and audit log tampering.</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Presidential Cybersecurity Authority submissions and internal government security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Presidential Information and Communication Security Guide</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92d13287-592c-867e-f133-13813b010d33" w:fontKey="{00000000-0000-0000-0000-000000000000}" w:subsetted="0"/>
  </w:font>
  <w:font w:name="Caladea Regular">
    <w:embedRegular xmlns:r="http://schemas.openxmlformats.org/officeDocument/2006/relationships" r:id="rId64001c99-84d3-1f81-f66c-67479c073e7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3">
    <w:name w:val="List 3"/>
    <w:uiPriority w:val="1"/>
    <w:basedOn w:val="Normal"/>
    <w:next w:val="List3"/>
    <w:p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TOCHeading">
    <w:name w:val="TOC Heading"/>
    <w:uiPriority w:val="1"/>
    <w:basedOn w:val="Heading1"/>
    <w:next w:val="Normal"/>
    <w:pPr>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
    <w:name w:val="List"/>
    <w:uiPriority w:val="1"/>
    <w:basedOn w:val="Normal"/>
    <w:next w:val="List"/>
    <w:pPr>
      <w:widowControl w:val="1"/>
      <w:ind w:left="36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2">
    <w:name w:val="List 2"/>
    <w:uiPriority w:val="1"/>
    <w:basedOn w:val="Normal"/>
    <w:next w:val="List2"/>
    <w:pPr>
      <w:widowControl w:val="1"/>
      <w:ind w:left="72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92d13287-592c-867e-f133-13813b010d33" Target="fonts/ArimoRegular.ttf" Type="http://schemas.openxmlformats.org/officeDocument/2006/relationships/font"/><Relationship Id="rId64001c99-84d3-1f81-f66c-67479c073e79"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