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Spanish Organic Law 3-2018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Demonstrate data protection accountability with comprehensive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Spanish Organic Law 3/2018 (LOPDGDD) Compliance extension for Log360 helps Spanish data controllers and processors meet the data security, access audit, and breach notification requirements under Spain's Organic Law on Data Protection and the Guarantee of Digital Rights (LOPDGDD).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databases, cloud services, applications, and identity systems, providing visibility into personal data processing activities and potential security violations. Compliance and DPO teams can detect unauthorized access to personal data, investigate incidents, and generate AEPD-ready audit documentation.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LOPDGDD compliance reports covering personal data access events, authentication logs, and system security activities.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personal data repositories and detect unauthorized queries, bulk exports, and anomalous data movements across cloud and on-premises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breach indicators such as unauthorized access to sensitive records, unusual data transfers, and audit log tampering.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AEPD investigations, DPO records, and internal data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LPODGDD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f0ce5a20-ae7a-617e-f6e2-6e124c28ef8a" w:fontKey="{00000000-0000-0000-0000-000000000000}" w:subsetted="0"/>
  </w:font>
  <w:font w:name="Caladea Regular">
    <w:embedRegular xmlns:r="http://schemas.openxmlformats.org/officeDocument/2006/relationships" r:id="rId1cdf41ec-b261-32d3-0d7d-05a9504603e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3">
    <w:name w:val="List 3"/>
    <w:uiPriority w:val="1"/>
    <w:basedOn w:val="Normal"/>
    <w:next w:val="List3"/>
    <w:p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2">
    <w:name w:val="List 2"/>
    <w:uiPriority w:val="1"/>
    <w:basedOn w:val="Normal"/>
    <w:next w:val="List2"/>
    <w:p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
    <w:name w:val="List"/>
    <w:uiPriority w:val="1"/>
    <w:basedOn w:val="Normal"/>
    <w:next w:val="List"/>
    <w:pPr>
      <w:widowControl w:val="1"/>
      <w:ind w:left="36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TOCHeading">
    <w:name w:val="TOC Heading"/>
    <w:uiPriority w:val="1"/>
    <w:basedOn w:val="Heading1"/>
    <w:next w:val="Normal"/>
    <w:pPr>
      <w:widowControl w:val="1"/>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f0ce5a20-ae7a-617e-f6e2-6e124c28ef8a" Target="fonts/ArimoRegular.ttf" Type="http://schemas.openxmlformats.org/officeDocument/2006/relationships/font" /><Relationship Id="rId1cdf41ec-b261-32d3-0d7d-05a9504603ec"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