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VARA Technology and Information Rulebook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Dubai's VARA requirements with monitoring and reporting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VARA Technology and Information Rulebook Compliance extension for Log360 helps Virtual Asset Service Providers (VASPs) licensed by the Dubai Virtual Assets Regulatory Authority (VARA) meet the technology risk management, cybersecurity monitoring, and data protection requirements of the VARA Technology and Information Rulebook.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virtual asset platforms, trading systems, cloud environments, and identity services, providing security teams with continuous visibility into cyber risk indicators. Compliance teams can monitor access to sensitive virtual asset data, detect threats, and generate VARA-ready audit documentation.</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aligned to VARA Technology Rulebook requirements covering access control, platform security monitoring, and cybersecurity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privileged user activities, administrative changes, and access events across virtual asset trading and custody systems in real time.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spacing w:val="0"/>
          <w:vertAlign w:val="baseline"/>
        </w:rPr>
        <w:t xml:space="preserve">Detect threats targeting virtual asset platforms through real-time monitoring of wallet access, custody transaction integrity, and platform API activity with specialized threat intelligence.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VARA supervisory submissions and internal virtual asset security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VARA Tech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d0005e97-465e-2d1b-0823-e88f6a1512bb" w:fontKey="{00000000-0000-0000-0000-000000000000}" w:subsetted="0"/>
  </w:font>
  <w:font w:name="Caladea Regular">
    <w:embedRegular xmlns:r="http://schemas.openxmlformats.org/officeDocument/2006/relationships" r:id="rId7deb32cd-61ba-c9f9-5638-6c84d58801b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
    <w:name w:val="Body Text"/>
    <w:uiPriority w:val="1"/>
    <w:basedOn w:val="Normal"/>
    <w:next w:val="BodyText"/>
    <w:pPr>
      <w:spacing w:after="120.0"/>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3">
    <w:name w:val="List 3"/>
    <w:uiPriority w:val="1"/>
    <w:basedOn w:val="Normal"/>
    <w:next w:val="List3"/>
    <w:p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
    <w:name w:val="List"/>
    <w:uiPriority w:val="1"/>
    <w:basedOn w:val="Normal"/>
    <w:next w:val="List"/>
    <w:p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d0005e97-465e-2d1b-0823-e88f6a1512bb" Target="fonts/ArimoRegular.ttf" Type="http://schemas.openxmlformats.org/officeDocument/2006/relationships/font"/><Relationship Id="rId7deb32cd-61ba-c9f9-5638-6c84d58801b3"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