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Legea 190-2018_740x340.png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Legea 190-2018_740x340.png.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Legea 190-2018_740x340.png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Legea 190-2018_740x340.png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Legea 190-2018_740x340.png,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840259"/>
            <wp:docPr id="1" name="Picture 1"/>
            <wp:cNvGraphicFramePr>
              <a:graphicFrameLocks noChangeAspect="1"/>
            </wp:cNvGraphicFramePr>
            <a:graphic>
              <a:graphicData uri="http://schemas.openxmlformats.org/drawingml/2006/picture">
                <pic:pic>
                  <pic:nvPicPr>
                    <pic:cNvPr id="0" name="Legea 190-2018_740x340.png"/>
                    <pic:cNvPicPr/>
                  </pic:nvPicPr>
                  <pic:blipFill>
                    <a:blip r:embed="rId14"/>
                    <a:stretch>
                      <a:fillRect/>
                    </a:stretch>
                  </pic:blipFill>
                  <pic:spPr>
                    <a:xfrm>
                      <a:off x="0" y="0"/>
                      <a:ext cx="1828800" cy="840259"/>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