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 125(I)-2018_original.gif</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 125(I)-2018_original.gif.</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 125(I)-2018_original.gif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 125(I)-2018_original.gif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 125(I)-2018_original.gif,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54236"/>
            <wp:docPr id="1" name="Picture 1"/>
            <wp:cNvGraphicFramePr>
              <a:graphicFrameLocks noChangeAspect="1"/>
            </wp:cNvGraphicFramePr>
            <a:graphic>
              <a:graphicData uri="http://schemas.openxmlformats.org/drawingml/2006/picture">
                <pic:pic>
                  <pic:nvPicPr>
                    <pic:cNvPr id="0" name="N. 125(I)-2018_original.gif"/>
                    <pic:cNvPicPr/>
                  </pic:nvPicPr>
                  <pic:blipFill>
                    <a:blip r:embed="rId14"/>
                    <a:stretch>
                      <a:fillRect/>
                    </a:stretch>
                  </pic:blipFill>
                  <pic:spPr>
                    <a:xfrm>
                      <a:off x="0" y="0"/>
                      <a:ext cx="1828800" cy="154236"/>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gif"/></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