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 89(I)-2020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