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OUG 155-2024_original.jpg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OUG 155-2024_original.jpg.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OUG 155-2024_original.jpg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OUG 155-2024_original.jpg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OUG 155-2024_original.jpg,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621825"/>
            <wp:docPr id="1" name="Picture 1"/>
            <wp:cNvGraphicFramePr>
              <a:graphicFrameLocks noChangeAspect="1"/>
            </wp:cNvGraphicFramePr>
            <a:graphic>
              <a:graphicData uri="http://schemas.openxmlformats.org/drawingml/2006/picture">
                <pic:pic>
                  <pic:nvPicPr>
                    <pic:cNvPr id="0" name="OUG 155-2024_original.jpg"/>
                    <pic:cNvPicPr/>
                  </pic:nvPicPr>
                  <pic:blipFill>
                    <a:blip r:embed="rId14"/>
                    <a:stretch>
                      <a:fillRect/>
                    </a:stretch>
                  </pic:blipFill>
                  <pic:spPr>
                    <a:xfrm>
                      <a:off x="0" y="0"/>
                      <a:ext cx="1828800" cy="621825"/>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jp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