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OWASP ASVS_original.png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OWASP ASVS_original.png.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OWASP ASVS_original.png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OWASP ASVS_original.png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OWASP ASVS_original.png,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636422"/>
            <wp:docPr id="1" name="Picture 1"/>
            <wp:cNvGraphicFramePr>
              <a:graphicFrameLocks noChangeAspect="1"/>
            </wp:cNvGraphicFramePr>
            <a:graphic>
              <a:graphicData uri="http://schemas.openxmlformats.org/drawingml/2006/picture">
                <pic:pic>
                  <pic:nvPicPr>
                    <pic:cNvPr id="0" name="OWASP ASVS_original.png"/>
                    <pic:cNvPicPr/>
                  </pic:nvPicPr>
                  <pic:blipFill>
                    <a:blip r:embed="rId14"/>
                    <a:stretch>
                      <a:fillRect/>
                    </a:stretch>
                  </pic:blipFill>
                  <pic:spPr>
                    <a:xfrm>
                      <a:off x="0" y="0"/>
                      <a:ext cx="1828800" cy="636422"/>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