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Personopplysningsloven_740x340.png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Personopplysningsloven_740x340.png.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Personopplysningsloven_740x340.png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Personopplysningsloven_740x340.png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Personopplysningsloven_740x340.png,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840259"/>
            <wp:docPr id="1" name="Picture 1"/>
            <wp:cNvGraphicFramePr>
              <a:graphicFrameLocks noChangeAspect="1"/>
            </wp:cNvGraphicFramePr>
            <a:graphic>
              <a:graphicData uri="http://schemas.openxmlformats.org/drawingml/2006/picture">
                <pic:pic>
                  <pic:nvPicPr>
                    <pic:cNvPr id="0" name="Personopplysningsloven_740x340.png"/>
                    <pic:cNvPicPr/>
                  </pic:nvPicPr>
                  <pic:blipFill>
                    <a:blip r:embed="rId14"/>
                    <a:stretch>
                      <a:fillRect/>
                    </a:stretch>
                  </pic:blipFill>
                  <pic:spPr>
                    <a:xfrm>
                      <a:off x="0" y="0"/>
                      <a:ext cx="1828800" cy="840259"/>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