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Cybersecurity System Act_original.png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Cybersecurity System Act_original.png.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Cybersecurity System Act_original.png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Cybersecurity System Act_original.png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Cybersecurity System Act_original.png,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14476"/>
            <wp:docPr id="1" name="Picture 1"/>
            <wp:cNvGraphicFramePr>
              <a:graphicFrameLocks noChangeAspect="1"/>
            </wp:cNvGraphicFramePr>
            <a:graphic>
              <a:graphicData uri="http://schemas.openxmlformats.org/drawingml/2006/picture">
                <pic:pic>
                  <pic:nvPicPr>
                    <pic:cNvPr id="0" name="Polish Cybersecurity System Act_original.png"/>
                    <pic:cNvPicPr/>
                  </pic:nvPicPr>
                  <pic:blipFill>
                    <a:blip r:embed="rId14"/>
                    <a:stretch>
                      <a:fillRect/>
                    </a:stretch>
                  </pic:blipFill>
                  <pic:spPr>
                    <a:xfrm>
                      <a:off x="0" y="0"/>
                      <a:ext cx="1828800" cy="814476"/>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