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Tietosuojalaki_180x180.png</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Tietosuojalaki_180x180.png.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Tietosuojalaki_180x180.png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Tietosuojalaki_180x180.png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Tietosuojalaki_180x180.png,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1828800"/>
            <wp:docPr id="1" name="Picture 1"/>
            <wp:cNvGraphicFramePr>
              <a:graphicFrameLocks noChangeAspect="1"/>
            </wp:cNvGraphicFramePr>
            <a:graphic>
              <a:graphicData uri="http://schemas.openxmlformats.org/drawingml/2006/picture">
                <pic:pic>
                  <pic:nvPicPr>
                    <pic:cNvPr id="0" name="Tietosuojalaki_180x180.png"/>
                    <pic:cNvPicPr/>
                  </pic:nvPicPr>
                  <pic:blipFill>
                    <a:blip r:embed="rId14"/>
                    <a:stretch>
                      <a:fillRect/>
                    </a:stretch>
                  </pic:blipFill>
                  <pic:spPr>
                    <a:xfrm>
                      <a:off x="0" y="0"/>
                      <a:ext cx="1828800" cy="1828800"/>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