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UAE NCS 2025ΓÇô2031_original-embedded.png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UAE NCS 2025ΓÇô2031_original-embedded.png.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UAE NCS 2025ΓÇô2031_original-embedded.png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UAE NCS 2025ΓÇô2031_original-embedded.png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UAE NCS 2025ΓÇô2031_original-embedded.png,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364137"/>
            <wp:docPr id="1" name="Picture 1"/>
            <wp:cNvGraphicFramePr>
              <a:graphicFrameLocks noChangeAspect="1"/>
            </wp:cNvGraphicFramePr>
            <a:graphic>
              <a:graphicData uri="http://schemas.openxmlformats.org/drawingml/2006/picture">
                <pic:pic>
                  <pic:nvPicPr>
                    <pic:cNvPr id="0" name="UAE NCS 2025ΓÇô2031_original-embedded.png"/>
                    <pic:cNvPicPr/>
                  </pic:nvPicPr>
                  <pic:blipFill>
                    <a:blip r:embed="rId14"/>
                    <a:stretch>
                      <a:fillRect/>
                    </a:stretch>
                  </pic:blipFill>
                  <pic:spPr>
                    <a:xfrm>
                      <a:off x="0" y="0"/>
                      <a:ext cx="1828800" cy="364137"/>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