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Zakon za kibersigurnost_original.png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Zakon za kibersigurnost_original.png.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Zakon za kibersigurnost_original.png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Zakon za kibersigurnost_original.png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Zakon za kibersigurnost_original.png,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534478"/>
            <wp:docPr id="1" name="Picture 1"/>
            <wp:cNvGraphicFramePr>
              <a:graphicFrameLocks noChangeAspect="1"/>
            </wp:cNvGraphicFramePr>
            <a:graphic>
              <a:graphicData uri="http://schemas.openxmlformats.org/drawingml/2006/picture">
                <pic:pic>
                  <pic:nvPicPr>
                    <pic:cNvPr id="0" name="Zakon za kibersigurnost_original.png"/>
                    <pic:cNvPicPr/>
                  </pic:nvPicPr>
                  <pic:blipFill>
                    <a:blip r:embed="rId14"/>
                    <a:stretch>
                      <a:fillRect/>
                    </a:stretch>
                  </pic:blipFill>
                  <pic:spPr>
                    <a:xfrm>
                      <a:off x="0" y="0"/>
                      <a:ext cx="1828800" cy="1534478"/>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