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 xml:space="preserve">ANVISA 38-2020 Compliance for Log360</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Automate cybersecurity risk management for medical devices and ensure ANVISA RDC 38/2020 compliance with Log360.</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The ANVISA Guide No. 38/2020 compliance extension for Log360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Log360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 xml:space="preserve">Log360,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gfwVfeAMke5rG0YItc.png" Type="http://schemas.openxmlformats.org/officeDocument/2006/relationships/image" /><Relationship Id="rId7" Target="media/a9P3MzxPsXg5zNH2i3.png" Type="http://schemas.openxmlformats.org/officeDocument/2006/relationships/image" /><Relationship Id="rId8" Target="media/F5EyYPpTN5W4nMY1mP.png" Type="http://schemas.openxmlformats.org/officeDocument/2006/relationships/image" /><Relationship Id="rId9" Target="media/9khyoxUVlcHTyyVQfd.png" Type="http://schemas.openxmlformats.org/officeDocument/2006/relationships/image" /><Relationship Id="rId10" Target="media/SBFUf8od3lp58CbCF7.png" Type="http://schemas.openxmlformats.org/officeDocument/2006/relationships/image" /><Relationship Id="rId11" Target="media/jDJMH2pc8SVvZ022cL.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b611de71-9d37-fc9e-371e-d9cfc57b7df0"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