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Employee Leave Policy</w:t>
      </w:r>
    </w:p>
    <w:p>
      <w:pPr>
        <w:spacing w:after="200"/>
      </w:pPr>
      <w:r>
        <w:t xml:space="preserve">Employees receive 24 annual leave days per calendar year.</w:t>
      </w:r>
    </w:p>
    <w:p>
      <w:pPr>
        <w:spacing w:after="200"/>
      </w:pPr>
      <w:r>
        <w:t xml:space="preserve">Employees receive 12 sick leave days per year.</w:t>
      </w:r>
    </w:p>
    <w:p>
      <w:pPr>
        <w:spacing w:after="200"/>
      </w:pPr>
      <w:r>
        <w:t xml:space="preserve">Employees may carry forward up to 5 unused annual leave days.</w:t>
      </w:r>
    </w:p>
    <w:p>
      <w:pPr>
        <w:spacing w:after="200"/>
      </w:pPr>
      <w:r>
        <w:t xml:space="preserve">Leave longer than 3 consecutive working days requires manager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2026-09-10T11:48:38.541Z</dcterms:created>
  <dcterms:modified xsi:type="dcterms:W3CDTF">2026-09-10T11:48:38.541Z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