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rPr/>
      </w:pPr>
      <w:r>
        <w:rPr>
          <w:b/>
          <w:bCs/>
          <w:color w:val="1F4E5C"/>
          <w:sz w:val="40"/>
          <w:szCs w:val="40"/>
        </w:rPr>
        <w:t>Self-Hosted Git Server Feasibility Study</w:t>
      </w:r>
    </w:p>
    <w:p>
      <w:pPr>
        <w:pStyle w:val="Normal"/>
        <w:spacing w:before="0" w:after="60"/>
        <w:rPr/>
      </w:pPr>
      <w:r>
        <w:rPr>
          <w:color w:val="555555"/>
          <w:sz w:val="26"/>
          <w:szCs w:val="26"/>
        </w:rPr>
        <w:t>Migrating from GitHub Cloud to a Local Gitea Environment</w:t>
      </w:r>
    </w:p>
    <w:p>
      <w:pPr>
        <w:pStyle w:val="Normal"/>
        <w:spacing w:before="0" w:after="60"/>
        <w:rPr/>
      </w:pPr>
      <w:r>
        <w:rPr>
          <w:i/>
          <w:iCs/>
          <w:color w:val="777777"/>
          <w:sz w:val="22"/>
          <w:szCs w:val="22"/>
        </w:rPr>
        <w:t>Research Document 1 — Feasibility &amp; Setup Approach</w:t>
      </w:r>
    </w:p>
    <w:p>
      <w:pPr>
        <w:pStyle w:val="Normal"/>
        <w:spacing w:before="0" w:after="400"/>
        <w:rPr/>
      </w:pPr>
      <w:r>
        <w:rPr>
          <w:color w:val="777777"/>
          <w:sz w:val="20"/>
          <w:szCs w:val="20"/>
        </w:rPr>
        <w:t>Prepared by: SAJJANSHETTY VINAYAKA  |  Date: July 22, 2026</w:t>
      </w:r>
    </w:p>
    <w:p>
      <w:pPr>
        <w:pStyle w:val="Normal"/>
        <w:pBdr>
          <w:bottom w:val="single" w:sz="6" w:space="0" w:color="1F4E5C"/>
        </w:pBdr>
        <w:spacing w:before="0" w:after="300"/>
        <w:rPr/>
      </w:pPr>
      <w:r>
        <w:rPr/>
      </w:r>
    </w:p>
    <w:p>
      <w:pPr>
        <w:pStyle w:val="Heading1"/>
        <w:spacing w:before="320" w:after="160"/>
        <w:rPr/>
      </w:pPr>
      <w:r>
        <w:rPr/>
        <w:t>1. Executive Summary</w:t>
      </w:r>
    </w:p>
    <w:p>
      <w:pPr>
        <w:pStyle w:val="Normal"/>
        <w:spacing w:before="0" w:after="160"/>
        <w:rPr/>
      </w:pPr>
      <w:r>
        <w:rPr/>
        <w:t>This document evaluates the feasibility of replacing our current reliance on GitHub (a cloud-hosted service) with a self-hosted, local git server. The objective is to keep the day-to-day developer experience close to what the team already knows, while removing dependence on an external cloud provider.</w:t>
      </w:r>
    </w:p>
    <w:p>
      <w:pPr>
        <w:pStyle w:val="Normal"/>
        <w:spacing w:before="0" w:after="160"/>
        <w:rPr/>
      </w:pPr>
      <w:r>
        <w:rPr/>
        <w:t>Two setup options were evaluated: a Gitea + PostgreSQL stack on its own, and the same stack extended with a local LLM as an automated code reviewer. Both are technically achievable within a 2–3 day setup window to reach a usable state, with security and administrative hardening planned as an iterative follow-on rather than a blocker to starting. Gitea was selected as the platform after comparing it against GitLab, Bitbucket Server, Azure DevOps Server, Gerrit, and AWS CodeCommit.</w:t>
      </w:r>
    </w:p>
    <w:p>
      <w:pPr>
        <w:pStyle w:val="ListParagraph"/>
        <w:numPr>
          <w:ilvl w:val="0"/>
          <w:numId w:val="4"/>
        </w:numPr>
        <w:spacing w:before="0" w:after="80"/>
        <w:rPr/>
      </w:pPr>
      <w:r>
        <w:rPr>
          <w:b/>
          <w:bCs/>
        </w:rPr>
        <w:t xml:space="preserve">Recommendation: </w:t>
      </w:r>
      <w:r>
        <w:rPr/>
        <w:t>Proceed with Gitea + PostgreSQL as the foundation. Treat the local LLM reviewer as an optional, addable layer once hardware availability and cost are confirmed, rather than a blocker to the initial rollout.</w:t>
      </w:r>
    </w:p>
    <w:p>
      <w:pPr>
        <w:pStyle w:val="Heading1"/>
        <w:spacing w:before="320" w:after="160"/>
        <w:rPr/>
      </w:pPr>
      <w:r>
        <w:rPr/>
        <w:t>2. Purpose &amp; Objective</w:t>
      </w:r>
    </w:p>
    <w:p>
      <w:pPr>
        <w:pStyle w:val="Normal"/>
        <w:spacing w:before="0" w:after="160"/>
        <w:rPr/>
      </w:pPr>
      <w:r>
        <w:rPr/>
        <w:t>The team currently depends on GitHub, a cloud-hosted service, for source control and code review. The aim of this initiative is to determine whether a familiar, GitHub-like environment can be reproduced locally — removing the dependency on cloud services — without significantly disrupting how the team already works.</w:t>
      </w:r>
    </w:p>
    <w:p>
      <w:pPr>
        <w:pStyle w:val="Normal"/>
        <w:spacing w:before="0" w:after="160"/>
        <w:rPr/>
      </w:pPr>
      <w:r>
        <w:rPr/>
        <w:t>This first document exists to answer one open question: is a local, self-hosted git server setup doable? It lays out the two viable configurations, the reasoning behind the platform choice, the expected setup effort, and the plan for bringing existing repositories over.</w:t>
      </w:r>
    </w:p>
    <w:p>
      <w:pPr>
        <w:pStyle w:val="Heading1"/>
        <w:spacing w:before="320" w:after="160"/>
        <w:rPr/>
      </w:pPr>
      <w:r>
        <w:rPr/>
        <w:t>3. Proposed Setup Options</w:t>
      </w:r>
    </w:p>
    <w:p>
      <w:pPr>
        <w:pStyle w:val="Normal"/>
        <w:spacing w:before="0" w:after="160"/>
        <w:rPr/>
      </w:pPr>
      <w:r>
        <w:rPr/>
        <w:t>Two configurations were considered. Both share the same core (Gitea + PostgreSQL) and the same network requirement: the server must sit on the same network hub as its users.</w:t>
      </w:r>
    </w:p>
    <w:p>
      <w:pPr>
        <w:pStyle w:val="Heading2"/>
        <w:spacing w:before="240" w:after="120"/>
        <w:rPr/>
      </w:pPr>
      <w:r>
        <w:rPr/>
        <w:t>Option 1 — Gitea + PostgreSQL + Local LLM Code Reviewer</w:t>
      </w:r>
    </w:p>
    <w:p>
      <w:pPr>
        <w:pStyle w:val="ListParagraph"/>
        <w:numPr>
          <w:ilvl w:val="0"/>
          <w:numId w:val="5"/>
        </w:numPr>
        <w:spacing w:before="0" w:after="80"/>
        <w:rPr/>
      </w:pPr>
      <w:r>
        <w:rPr>
          <w:b/>
          <w:bCs/>
        </w:rPr>
        <w:t xml:space="preserve">Merit: </w:t>
      </w:r>
      <w:r>
        <w:rPr/>
        <w:t xml:space="preserve">Adds an automated LLM reviewer that explains code, suggests enhancements, and catches bugs — similar in spirit to an automated PR reviewer bot </w:t>
      </w:r>
      <w:r>
        <w:rPr/>
        <w:t>similar as the “</w:t>
      </w:r>
      <w:r>
        <w:rPr>
          <w:b/>
          <w:bCs/>
        </w:rPr>
        <w:t>Coderabbit-{www.coderabbit.ai}</w:t>
      </w:r>
      <w:r>
        <w:rPr/>
        <w:t>”</w:t>
      </w:r>
      <w:r>
        <w:rPr/>
        <w:t>.</w:t>
      </w:r>
    </w:p>
    <w:p>
      <w:pPr>
        <w:pStyle w:val="ListParagraph"/>
        <w:numPr>
          <w:ilvl w:val="0"/>
          <w:numId w:val="6"/>
        </w:numPr>
        <w:spacing w:before="0" w:after="80"/>
        <w:rPr/>
      </w:pPr>
      <w:r>
        <w:rPr>
          <w:b/>
          <w:bCs/>
        </w:rPr>
        <w:t xml:space="preserve">Demerit: </w:t>
      </w:r>
      <w:r>
        <w:rPr/>
        <w:t>Meaningfully higher hardware cost to run the LLM at usable speed and quality.</w:t>
      </w:r>
    </w:p>
    <w:p>
      <w:pPr>
        <w:pStyle w:val="ListParagraph"/>
        <w:numPr>
          <w:ilvl w:val="0"/>
          <w:numId w:val="7"/>
        </w:numPr>
        <w:spacing w:before="0" w:after="80"/>
        <w:rPr/>
      </w:pPr>
      <w:r>
        <w:rPr>
          <w:b/>
          <w:bCs/>
        </w:rPr>
        <w:t xml:space="preserve">Requirement: </w:t>
      </w:r>
      <w:r>
        <w:rPr/>
        <w:t>Must be deployed on the same network hub as the users it serves.</w:t>
      </w:r>
    </w:p>
    <w:p>
      <w:pPr>
        <w:pStyle w:val="Heading2"/>
        <w:spacing w:before="240" w:after="120"/>
        <w:rPr/>
      </w:pPr>
      <w:r>
        <w:rPr/>
        <w:t>Option 2 — Gitea + PostgreSQL Only</w:t>
      </w:r>
    </w:p>
    <w:p>
      <w:pPr>
        <w:pStyle w:val="ListParagraph"/>
        <w:numPr>
          <w:ilvl w:val="0"/>
          <w:numId w:val="8"/>
        </w:numPr>
        <w:spacing w:before="0" w:after="80"/>
        <w:rPr/>
      </w:pPr>
      <w:r>
        <w:rPr>
          <w:b/>
          <w:bCs/>
        </w:rPr>
        <w:t xml:space="preserve">Merit: </w:t>
      </w:r>
      <w:r>
        <w:rPr/>
        <w:t>Very low hardware resource requirements — runs comfortably as a single lightweight Docker deployment.</w:t>
      </w:r>
    </w:p>
    <w:p>
      <w:pPr>
        <w:pStyle w:val="ListParagraph"/>
        <w:numPr>
          <w:ilvl w:val="0"/>
          <w:numId w:val="9"/>
        </w:numPr>
        <w:spacing w:before="0" w:after="80"/>
        <w:rPr/>
      </w:pPr>
      <w:r>
        <w:rPr>
          <w:b/>
          <w:bCs/>
        </w:rPr>
        <w:t xml:space="preserve">Demerit: </w:t>
      </w:r>
      <w:r>
        <w:rPr/>
        <w:t>No automated LLM review capability; code review stays fully manual.</w:t>
      </w:r>
    </w:p>
    <w:p>
      <w:pPr>
        <w:pStyle w:val="ListParagraph"/>
        <w:numPr>
          <w:ilvl w:val="0"/>
          <w:numId w:val="10"/>
        </w:numPr>
        <w:spacing w:before="0" w:after="80"/>
        <w:rPr/>
      </w:pPr>
      <w:r>
        <w:rPr>
          <w:b/>
          <w:bCs/>
        </w:rPr>
        <w:t xml:space="preserve">Requirement: </w:t>
      </w:r>
      <w:r>
        <w:rPr/>
        <w:t>Must be deployed on the same network hub as the users it serves.</w:t>
      </w:r>
    </w:p>
    <w:p>
      <w:pPr>
        <w:pStyle w:val="Normal"/>
        <w:spacing w:before="0" w:after="120"/>
        <w:rPr/>
      </w:pPr>
      <w:r>
        <w:rPr/>
      </w:r>
    </w:p>
    <w:p>
      <w:pPr>
        <w:pStyle w:val="Normal"/>
        <w:spacing w:before="0" w:after="120"/>
        <w:rPr/>
      </w:pPr>
      <w:r>
        <w:rPr/>
      </w:r>
    </w:p>
    <w:tbl>
      <w:tblPr>
        <w:tblW w:w="9360" w:type="dxa"/>
        <w:jc w:val="left"/>
        <w:tblInd w:w="0" w:type="dxa"/>
        <w:tblLayout w:type="fixed"/>
        <w:tblCellMar>
          <w:top w:w="100" w:type="dxa"/>
          <w:left w:w="120" w:type="dxa"/>
          <w:bottom w:w="100" w:type="dxa"/>
          <w:right w:w="120" w:type="dxa"/>
        </w:tblCellMar>
      </w:tblPr>
      <w:tblGrid>
        <w:gridCol w:w="2398"/>
        <w:gridCol w:w="3481"/>
        <w:gridCol w:w="3481"/>
      </w:tblGrid>
      <w:tr>
        <w:trPr>
          <w:tblHeader w:val="true"/>
        </w:trPr>
        <w:tc>
          <w:tcPr>
            <w:tcW w:w="2398" w:type="dxa"/>
            <w:tcBorders>
              <w:top w:val="single" w:sz="4" w:space="0" w:color="000000"/>
              <w:left w:val="single" w:sz="4" w:space="0" w:color="000000"/>
              <w:bottom w:val="single" w:sz="4" w:space="0" w:color="000000"/>
              <w:right w:val="single" w:sz="4" w:space="0" w:color="000000"/>
            </w:tcBorders>
            <w:shd w:fill="1F4E5C" w:val="clear"/>
          </w:tcPr>
          <w:p>
            <w:pPr>
              <w:pStyle w:val="Normal"/>
              <w:rPr/>
            </w:pPr>
            <w:r>
              <w:rPr/>
            </w:r>
          </w:p>
        </w:tc>
        <w:tc>
          <w:tcPr>
            <w:tcW w:w="3481" w:type="dxa"/>
            <w:tcBorders>
              <w:top w:val="single" w:sz="4" w:space="0" w:color="000000"/>
              <w:left w:val="single" w:sz="4" w:space="0" w:color="000000"/>
              <w:bottom w:val="single" w:sz="4" w:space="0" w:color="000000"/>
              <w:right w:val="single" w:sz="4" w:space="0" w:color="000000"/>
            </w:tcBorders>
            <w:shd w:fill="1F4E5C" w:val="clear"/>
          </w:tcPr>
          <w:p>
            <w:pPr>
              <w:pStyle w:val="Normal"/>
              <w:rPr/>
            </w:pPr>
            <w:r>
              <w:rPr>
                <w:b/>
                <w:bCs/>
              </w:rPr>
              <w:t>Option 1: Gitea + LLM Reviewer</w:t>
            </w:r>
          </w:p>
        </w:tc>
        <w:tc>
          <w:tcPr>
            <w:tcW w:w="3481" w:type="dxa"/>
            <w:tcBorders>
              <w:top w:val="single" w:sz="4" w:space="0" w:color="000000"/>
              <w:left w:val="single" w:sz="4" w:space="0" w:color="000000"/>
              <w:bottom w:val="single" w:sz="4" w:space="0" w:color="000000"/>
              <w:right w:val="single" w:sz="4" w:space="0" w:color="000000"/>
            </w:tcBorders>
            <w:shd w:fill="1F4E5C" w:val="clear"/>
          </w:tcPr>
          <w:p>
            <w:pPr>
              <w:pStyle w:val="Normal"/>
              <w:rPr/>
            </w:pPr>
            <w:r>
              <w:rPr>
                <w:b/>
                <w:bCs/>
              </w:rPr>
              <w:t>Option 2: Gitea Only</w:t>
            </w:r>
          </w:p>
        </w:tc>
      </w:tr>
      <w:tr>
        <w:trPr/>
        <w:tc>
          <w:tcPr>
            <w:tcW w:w="2398"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Hardware cost</w:t>
            </w:r>
          </w:p>
        </w:tc>
        <w:tc>
          <w:tcPr>
            <w:tcW w:w="348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High — needs a machine capable of running an LLM at usable speed</w:t>
            </w:r>
          </w:p>
        </w:tc>
        <w:tc>
          <w:tcPr>
            <w:tcW w:w="348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Low — single lightweight container</w:t>
            </w:r>
          </w:p>
        </w:tc>
      </w:tr>
      <w:tr>
        <w:trPr/>
        <w:tc>
          <w:tcPr>
            <w:tcW w:w="2398" w:type="dxa"/>
            <w:tcBorders>
              <w:top w:val="single" w:sz="4" w:space="0" w:color="000000"/>
              <w:left w:val="single" w:sz="4" w:space="0" w:color="000000"/>
              <w:bottom w:val="single" w:sz="4" w:space="0" w:color="000000"/>
              <w:right w:val="single" w:sz="4" w:space="0" w:color="000000"/>
            </w:tcBorders>
            <w:shd w:fill="EAF1F2" w:val="clear"/>
          </w:tcPr>
          <w:p>
            <w:pPr>
              <w:pStyle w:val="Normal"/>
              <w:rPr/>
            </w:pPr>
            <w:r>
              <w:rPr>
                <w:b w:val="false"/>
                <w:bCs w:val="false"/>
              </w:rPr>
              <w:t>Code review</w:t>
            </w:r>
          </w:p>
        </w:tc>
        <w:tc>
          <w:tcPr>
            <w:tcW w:w="3481" w:type="dxa"/>
            <w:tcBorders>
              <w:top w:val="single" w:sz="4" w:space="0" w:color="000000"/>
              <w:left w:val="single" w:sz="4" w:space="0" w:color="000000"/>
              <w:bottom w:val="single" w:sz="4" w:space="0" w:color="000000"/>
              <w:right w:val="single" w:sz="4" w:space="0" w:color="000000"/>
            </w:tcBorders>
            <w:shd w:fill="EAF1F2" w:val="clear"/>
          </w:tcPr>
          <w:p>
            <w:pPr>
              <w:pStyle w:val="Normal"/>
              <w:rPr/>
            </w:pPr>
            <w:r>
              <w:rPr>
                <w:b w:val="false"/>
                <w:bCs w:val="false"/>
              </w:rPr>
              <w:t>Automated: explanations, enhancement suggestions, bug catching</w:t>
            </w:r>
          </w:p>
        </w:tc>
        <w:tc>
          <w:tcPr>
            <w:tcW w:w="3481" w:type="dxa"/>
            <w:tcBorders>
              <w:top w:val="single" w:sz="4" w:space="0" w:color="000000"/>
              <w:left w:val="single" w:sz="4" w:space="0" w:color="000000"/>
              <w:bottom w:val="single" w:sz="4" w:space="0" w:color="000000"/>
              <w:right w:val="single" w:sz="4" w:space="0" w:color="000000"/>
            </w:tcBorders>
            <w:shd w:fill="EAF1F2" w:val="clear"/>
          </w:tcPr>
          <w:p>
            <w:pPr>
              <w:pStyle w:val="Normal"/>
              <w:rPr/>
            </w:pPr>
            <w:r>
              <w:rPr>
                <w:b w:val="false"/>
                <w:bCs w:val="false"/>
              </w:rPr>
              <w:t>Manual only, same as today's human review</w:t>
            </w:r>
          </w:p>
        </w:tc>
      </w:tr>
      <w:tr>
        <w:trPr/>
        <w:tc>
          <w:tcPr>
            <w:tcW w:w="2398"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Network requirement</w:t>
            </w:r>
          </w:p>
        </w:tc>
        <w:tc>
          <w:tcPr>
            <w:tcW w:w="348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Same network hub as users</w:t>
            </w:r>
          </w:p>
        </w:tc>
        <w:tc>
          <w:tcPr>
            <w:tcW w:w="3481"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Same network hub as users</w:t>
            </w:r>
          </w:p>
        </w:tc>
      </w:tr>
      <w:tr>
        <w:trPr/>
        <w:tc>
          <w:tcPr>
            <w:tcW w:w="2398" w:type="dxa"/>
            <w:tcBorders>
              <w:top w:val="single" w:sz="4" w:space="0" w:color="000000"/>
              <w:left w:val="single" w:sz="4" w:space="0" w:color="000000"/>
              <w:bottom w:val="single" w:sz="4" w:space="0" w:color="000000"/>
              <w:right w:val="single" w:sz="4" w:space="0" w:color="000000"/>
            </w:tcBorders>
            <w:shd w:fill="EAF1F2" w:val="clear"/>
          </w:tcPr>
          <w:p>
            <w:pPr>
              <w:pStyle w:val="Normal"/>
              <w:rPr/>
            </w:pPr>
            <w:r>
              <w:rPr>
                <w:b w:val="false"/>
                <w:bCs w:val="false"/>
              </w:rPr>
              <w:t>Best fit</w:t>
            </w:r>
          </w:p>
        </w:tc>
        <w:tc>
          <w:tcPr>
            <w:tcW w:w="3481" w:type="dxa"/>
            <w:tcBorders>
              <w:top w:val="single" w:sz="4" w:space="0" w:color="000000"/>
              <w:left w:val="single" w:sz="4" w:space="0" w:color="000000"/>
              <w:bottom w:val="single" w:sz="4" w:space="0" w:color="000000"/>
              <w:right w:val="single" w:sz="4" w:space="0" w:color="000000"/>
            </w:tcBorders>
            <w:shd w:fill="EAF1F2" w:val="clear"/>
          </w:tcPr>
          <w:p>
            <w:pPr>
              <w:pStyle w:val="Normal"/>
              <w:rPr/>
            </w:pPr>
            <w:r>
              <w:rPr>
                <w:b w:val="false"/>
                <w:bCs w:val="false"/>
              </w:rPr>
              <w:t>Once hardware is available/justified</w:t>
            </w:r>
          </w:p>
        </w:tc>
        <w:tc>
          <w:tcPr>
            <w:tcW w:w="3481" w:type="dxa"/>
            <w:tcBorders>
              <w:top w:val="single" w:sz="4" w:space="0" w:color="000000"/>
              <w:left w:val="single" w:sz="4" w:space="0" w:color="000000"/>
              <w:bottom w:val="single" w:sz="4" w:space="0" w:color="000000"/>
              <w:right w:val="single" w:sz="4" w:space="0" w:color="000000"/>
            </w:tcBorders>
            <w:shd w:fill="EAF1F2" w:val="clear"/>
          </w:tcPr>
          <w:p>
            <w:pPr>
              <w:pStyle w:val="Normal"/>
              <w:rPr/>
            </w:pPr>
            <w:r>
              <w:rPr>
                <w:b w:val="false"/>
                <w:bCs w:val="false"/>
              </w:rPr>
              <w:t>Fastest path to a usable, low-risk pilot</w:t>
            </w:r>
          </w:p>
        </w:tc>
      </w:tr>
    </w:tbl>
    <w:p>
      <w:pPr>
        <w:pStyle w:val="Normal"/>
        <w:spacing w:before="0" w:after="300"/>
        <w:rPr/>
      </w:pPr>
      <w:r>
        <w:rPr/>
      </w:r>
    </w:p>
    <w:p>
      <w:pPr>
        <w:pStyle w:val="Heading1"/>
        <w:spacing w:before="320" w:after="160"/>
        <w:rPr/>
      </w:pPr>
      <w:r>
        <w:rPr/>
        <w:t>4. Why Gitea, and Not the Alternatives</w:t>
      </w:r>
    </w:p>
    <w:p>
      <w:pPr>
        <w:pStyle w:val="Normal"/>
        <w:spacing w:before="0" w:after="160"/>
        <w:rPr/>
      </w:pPr>
      <w:r>
        <w:rPr/>
        <w:t>Gitea was chosen after directly comparing it against the realistic alternatives for a self-hosted setup. Full reasoning is maintained separately (see “Why Gitea (and not GitLab, Bitbucket, etc.)”); the key points are summarized below.</w:t>
      </w:r>
    </w:p>
    <w:p>
      <w:pPr>
        <w:pStyle w:val="Heading2"/>
        <w:spacing w:before="240" w:after="120"/>
        <w:rPr/>
      </w:pPr>
      <w:r>
        <w:rPr/>
        <w:t>4.1 Platform Comparison</w:t>
      </w:r>
    </w:p>
    <w:tbl>
      <w:tblPr>
        <w:tblW w:w="9360" w:type="dxa"/>
        <w:jc w:val="left"/>
        <w:tblInd w:w="0" w:type="dxa"/>
        <w:tblLayout w:type="fixed"/>
        <w:tblCellMar>
          <w:top w:w="100" w:type="dxa"/>
          <w:left w:w="120" w:type="dxa"/>
          <w:bottom w:w="100" w:type="dxa"/>
          <w:right w:w="120" w:type="dxa"/>
        </w:tblCellMar>
      </w:tblPr>
      <w:tblGrid>
        <w:gridCol w:w="2199"/>
        <w:gridCol w:w="7160"/>
      </w:tblGrid>
      <w:tr>
        <w:trPr>
          <w:tblHeader w:val="true"/>
        </w:trPr>
        <w:tc>
          <w:tcPr>
            <w:tcW w:w="2199" w:type="dxa"/>
            <w:tcBorders>
              <w:top w:val="single" w:sz="4" w:space="0" w:color="000000"/>
              <w:left w:val="single" w:sz="4" w:space="0" w:color="000000"/>
              <w:bottom w:val="single" w:sz="4" w:space="0" w:color="000000"/>
              <w:right w:val="single" w:sz="4" w:space="0" w:color="000000"/>
            </w:tcBorders>
            <w:shd w:fill="1F4E5C" w:val="clear"/>
          </w:tcPr>
          <w:p>
            <w:pPr>
              <w:pStyle w:val="Normal"/>
              <w:rPr/>
            </w:pPr>
            <w:r>
              <w:rPr>
                <w:b/>
                <w:bCs/>
              </w:rPr>
              <w:t>Platform</w:t>
            </w:r>
          </w:p>
        </w:tc>
        <w:tc>
          <w:tcPr>
            <w:tcW w:w="7160" w:type="dxa"/>
            <w:tcBorders>
              <w:top w:val="single" w:sz="4" w:space="0" w:color="000000"/>
              <w:left w:val="single" w:sz="4" w:space="0" w:color="000000"/>
              <w:bottom w:val="single" w:sz="4" w:space="0" w:color="000000"/>
              <w:right w:val="single" w:sz="4" w:space="0" w:color="000000"/>
            </w:tcBorders>
            <w:shd w:fill="1F4E5C" w:val="clear"/>
          </w:tcPr>
          <w:p>
            <w:pPr>
              <w:pStyle w:val="Normal"/>
              <w:rPr/>
            </w:pPr>
            <w:r>
              <w:rPr>
                <w:b/>
                <w:bCs/>
              </w:rPr>
              <w:t>Why it was ruled out</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GitLab CE</w:t>
            </w:r>
          </w:p>
        </w:tc>
        <w:tc>
          <w:tcPr>
            <w:tcW w:w="71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Full DevOps platform (CI runners, registry, issue boards); needs 4GB+ RAM and a multi-service stack (Sidekiq, Puma, Gitaly, Redis, Postgres) — too heavy for a single-machine setup serving ~10–20 people.</w:t>
            </w:r>
          </w:p>
        </w:tc>
      </w:tr>
      <w:tr>
        <w:trPr/>
        <w:tc>
          <w:tcPr>
            <w:tcW w:w="2199" w:type="dxa"/>
            <w:tcBorders>
              <w:top w:val="single" w:sz="4" w:space="0" w:color="000000"/>
              <w:left w:val="single" w:sz="4" w:space="0" w:color="000000"/>
              <w:bottom w:val="single" w:sz="4" w:space="0" w:color="000000"/>
              <w:right w:val="single" w:sz="4" w:space="0" w:color="000000"/>
            </w:tcBorders>
            <w:shd w:fill="EAF1F2" w:val="clear"/>
          </w:tcPr>
          <w:p>
            <w:pPr>
              <w:pStyle w:val="Normal"/>
              <w:rPr/>
            </w:pPr>
            <w:r>
              <w:rPr>
                <w:b w:val="false"/>
                <w:bCs w:val="false"/>
              </w:rPr>
              <w:t>Bitbucket Server</w:t>
            </w:r>
          </w:p>
        </w:tc>
        <w:tc>
          <w:tcPr>
            <w:tcW w:w="7160" w:type="dxa"/>
            <w:tcBorders>
              <w:top w:val="single" w:sz="4" w:space="0" w:color="000000"/>
              <w:left w:val="single" w:sz="4" w:space="0" w:color="000000"/>
              <w:bottom w:val="single" w:sz="4" w:space="0" w:color="000000"/>
              <w:right w:val="single" w:sz="4" w:space="0" w:color="000000"/>
            </w:tcBorders>
            <w:shd w:fill="EAF1F2" w:val="clear"/>
          </w:tcPr>
          <w:p>
            <w:pPr>
              <w:pStyle w:val="Normal"/>
              <w:rPr/>
            </w:pPr>
            <w:r>
              <w:rPr>
                <w:b w:val="false"/>
                <w:bCs w:val="false"/>
              </w:rPr>
              <w:t>Atlassian discontinued new licenses for self-hosted Server; remaining Data Center product is enterprise-paid.</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Azure DevOps Server</w:t>
            </w:r>
          </w:p>
        </w:tc>
        <w:tc>
          <w:tcPr>
            <w:tcW w:w="71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Enterprise-oriented, heavier install, licensing-encumbered, built around Microsoft ecosystem assumptions.</w:t>
            </w:r>
          </w:p>
        </w:tc>
      </w:tr>
      <w:tr>
        <w:trPr/>
        <w:tc>
          <w:tcPr>
            <w:tcW w:w="2199" w:type="dxa"/>
            <w:tcBorders>
              <w:top w:val="single" w:sz="4" w:space="0" w:color="000000"/>
              <w:left w:val="single" w:sz="4" w:space="0" w:color="000000"/>
              <w:bottom w:val="single" w:sz="4" w:space="0" w:color="000000"/>
              <w:right w:val="single" w:sz="4" w:space="0" w:color="000000"/>
            </w:tcBorders>
            <w:shd w:fill="EAF1F2" w:val="clear"/>
          </w:tcPr>
          <w:p>
            <w:pPr>
              <w:pStyle w:val="Normal"/>
              <w:rPr/>
            </w:pPr>
            <w:r>
              <w:rPr>
                <w:b w:val="false"/>
                <w:bCs w:val="false"/>
              </w:rPr>
              <w:t>Gerrit</w:t>
            </w:r>
          </w:p>
        </w:tc>
        <w:tc>
          <w:tcPr>
            <w:tcW w:w="7160" w:type="dxa"/>
            <w:tcBorders>
              <w:top w:val="single" w:sz="4" w:space="0" w:color="000000"/>
              <w:left w:val="single" w:sz="4" w:space="0" w:color="000000"/>
              <w:bottom w:val="single" w:sz="4" w:space="0" w:color="000000"/>
              <w:right w:val="single" w:sz="4" w:space="0" w:color="000000"/>
            </w:tcBorders>
            <w:shd w:fill="EAF1F2" w:val="clear"/>
          </w:tcPr>
          <w:p>
            <w:pPr>
              <w:pStyle w:val="Normal"/>
              <w:rPr/>
            </w:pPr>
            <w:r>
              <w:rPr>
                <w:b w:val="false"/>
                <w:bCs w:val="false"/>
              </w:rPr>
              <w:t>Fundamentally different patch-set review workflow instead of the familiar branch → PR → merge flow the team already knows; steep relearning curve for no real benefit.</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AWS CodeCommit</w:t>
            </w:r>
          </w:p>
        </w:tc>
        <w:tc>
          <w:tcPr>
            <w:tcW w:w="71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AWS-hosted only — not self-hostable at all, disqualified since the entire point is a local/offline setup.</w:t>
            </w:r>
          </w:p>
        </w:tc>
      </w:tr>
      <w:tr>
        <w:trPr/>
        <w:tc>
          <w:tcPr>
            <w:tcW w:w="2199" w:type="dxa"/>
            <w:tcBorders>
              <w:top w:val="single" w:sz="4" w:space="0" w:color="000000"/>
              <w:left w:val="single" w:sz="4" w:space="0" w:color="000000"/>
              <w:bottom w:val="single" w:sz="4" w:space="0" w:color="000000"/>
              <w:right w:val="single" w:sz="4" w:space="0" w:color="000000"/>
            </w:tcBorders>
            <w:shd w:fill="EAF1F2" w:val="clear"/>
          </w:tcPr>
          <w:p>
            <w:pPr>
              <w:pStyle w:val="Normal"/>
              <w:rPr/>
            </w:pPr>
            <w:r>
              <w:rPr>
                <w:b w:val="false"/>
                <w:bCs w:val="false"/>
              </w:rPr>
              <w:t>GitHub Enterprise Server</w:t>
            </w:r>
          </w:p>
        </w:tc>
        <w:tc>
          <w:tcPr>
            <w:tcW w:w="7160" w:type="dxa"/>
            <w:tcBorders>
              <w:top w:val="single" w:sz="4" w:space="0" w:color="000000"/>
              <w:left w:val="single" w:sz="4" w:space="0" w:color="000000"/>
              <w:bottom w:val="single" w:sz="4" w:space="0" w:color="000000"/>
              <w:right w:val="single" w:sz="4" w:space="0" w:color="000000"/>
            </w:tcBorders>
            <w:shd w:fill="EAF1F2" w:val="clear"/>
          </w:tcPr>
          <w:p>
            <w:pPr>
              <w:pStyle w:val="Normal"/>
              <w:rPr/>
            </w:pPr>
            <w:r>
              <w:rPr>
                <w:b w:val="false"/>
                <w:bCs w:val="false"/>
              </w:rPr>
              <w:t>Not self-hostable in the lightweight sense needed; commercial and heavy, same category as GitLab.</w:t>
            </w:r>
          </w:p>
        </w:tc>
      </w:tr>
      <w:tr>
        <w:trPr/>
        <w:tc>
          <w:tcPr>
            <w:tcW w:w="2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Gitea</w:t>
            </w:r>
          </w:p>
        </w:tc>
        <w:tc>
          <w:tcPr>
            <w:tcW w:w="716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Single lightweight Go binary, minimal resource footprint, same simple Docker deployment model, near-identical workflow to the team's prior Gogs setup, and the only option on PR-Agent's officially supported provider list.</w:t>
            </w:r>
          </w:p>
        </w:tc>
      </w:tr>
    </w:tbl>
    <w:p>
      <w:pPr>
        <w:pStyle w:val="Normal"/>
        <w:spacing w:before="0" w:after="240"/>
        <w:rPr/>
      </w:pPr>
      <w:r>
        <w:rPr/>
      </w:r>
    </w:p>
    <w:p>
      <w:pPr>
        <w:pStyle w:val="Heading2"/>
        <w:spacing w:before="240" w:after="120"/>
        <w:rPr/>
      </w:pPr>
      <w:r>
        <w:rPr/>
        <w:t>4.2 Non-Technical Factors</w:t>
      </w:r>
    </w:p>
    <w:p>
      <w:pPr>
        <w:pStyle w:val="ListParagraph"/>
        <w:numPr>
          <w:ilvl w:val="0"/>
          <w:numId w:val="11"/>
        </w:numPr>
        <w:spacing w:before="0" w:after="80"/>
        <w:rPr/>
      </w:pPr>
      <w:r>
        <w:rPr>
          <w:b/>
          <w:bCs/>
        </w:rPr>
        <w:t xml:space="preserve">No licensing risk: </w:t>
      </w:r>
      <w:r>
        <w:rPr/>
        <w:t>Gitea is MIT-licensed with no paid tiers, unlike GitLab (constant upsell prompts toward paid EE features) or Bitbucket/Azure DevOps Server (outright paid/enterprise).</w:t>
      </w:r>
    </w:p>
    <w:p>
      <w:pPr>
        <w:pStyle w:val="ListParagraph"/>
        <w:numPr>
          <w:ilvl w:val="0"/>
          <w:numId w:val="12"/>
        </w:numPr>
        <w:spacing w:before="0" w:after="80"/>
        <w:rPr/>
      </w:pPr>
      <w:r>
        <w:rPr>
          <w:b/>
          <w:bCs/>
        </w:rPr>
        <w:t xml:space="preserve">Community-owned, low single-vendor risk: </w:t>
      </w:r>
      <w:r>
        <w:rPr/>
        <w:t>An active, well-regarded community fork (Forgejo) exists — a sign the user base is large enough to sustain itself even if the core project ever stalls.</w:t>
      </w:r>
    </w:p>
    <w:p>
      <w:pPr>
        <w:pStyle w:val="ListParagraph"/>
        <w:numPr>
          <w:ilvl w:val="0"/>
          <w:numId w:val="13"/>
        </w:numPr>
        <w:spacing w:before="0" w:after="80"/>
        <w:rPr/>
      </w:pPr>
      <w:r>
        <w:rPr>
          <w:b/>
          <w:bCs/>
        </w:rPr>
        <w:t xml:space="preserve">Small maintenance surface: </w:t>
      </w:r>
      <w:r>
        <w:rPr/>
        <w:t>One Docker container to patch, versus GitLab's half-dozen interdependent services.</w:t>
      </w:r>
    </w:p>
    <w:p>
      <w:pPr>
        <w:pStyle w:val="ListParagraph"/>
        <w:numPr>
          <w:ilvl w:val="0"/>
          <w:numId w:val="14"/>
        </w:numPr>
        <w:spacing w:before="0" w:after="80"/>
        <w:rPr/>
      </w:pPr>
      <w:r>
        <w:rPr>
          <w:b/>
          <w:bCs/>
        </w:rPr>
        <w:t xml:space="preserve">No vendor lock-in: </w:t>
      </w:r>
      <w:r>
        <w:rPr/>
        <w:t>Repos are stored as plain git repositories plus a standard PostgreSQL database — fully portable if the team ever needs to move off Gitea.</w:t>
      </w:r>
    </w:p>
    <w:p>
      <w:pPr>
        <w:pStyle w:val="ListParagraph"/>
        <w:numPr>
          <w:ilvl w:val="0"/>
          <w:numId w:val="15"/>
        </w:numPr>
        <w:spacing w:before="0" w:after="80"/>
        <w:rPr/>
      </w:pPr>
      <w:r>
        <w:rPr>
          <w:b/>
          <w:bCs/>
        </w:rPr>
        <w:t xml:space="preserve">GitHub-like UI: </w:t>
      </w:r>
      <w:r>
        <w:rPr/>
        <w:t>Most developers already have GitHub muscle memory (PR pages, issue labels, review threads), so onboarding cost is minimal — unlike Gerrit's unfamiliar patch-set model.</w:t>
      </w:r>
    </w:p>
    <w:p>
      <w:pPr>
        <w:pStyle w:val="Heading2"/>
        <w:spacing w:before="240" w:after="120"/>
        <w:rPr/>
      </w:pPr>
      <w:r>
        <w:rPr/>
        <w:t>4.3 Project Health</w:t>
      </w:r>
    </w:p>
    <w:p>
      <w:pPr>
        <w:pStyle w:val="Normal"/>
        <w:spacing w:before="0" w:after="160"/>
        <w:rPr/>
      </w:pPr>
      <w:r>
        <w:rPr/>
        <w:t>As of mid-2026, Gitea has over 57,000 GitHub stars, is written in Go (lightweight, cross-platform), carries active, frequent commit activity with regular tagged releases, and maintains documentation that is clear and readable. This is a strong signal of an actively maintained, healthy open-source project rather than an abandoned or slowing one.</w:t>
      </w:r>
    </w:p>
    <w:p>
      <w:pPr>
        <w:pStyle w:val="Heading1"/>
        <w:spacing w:before="320" w:after="160"/>
        <w:rPr/>
      </w:pPr>
      <w:r>
        <w:rPr/>
        <w:t>5. Setup Timeline &amp; Maturity Plan</w:t>
      </w:r>
    </w:p>
    <w:p>
      <w:pPr>
        <w:pStyle w:val="Normal"/>
        <w:spacing w:before="0" w:after="160"/>
        <w:rPr/>
      </w:pPr>
      <w:r>
        <w:rPr/>
        <w:t>The estimated time to reach a usable setup is 2–3 days. This covers deploying Gitea and PostgreSQL and getting a working environment the team can start using — it does not yet represent a fully hardened production system.</w:t>
      </w:r>
    </w:p>
    <w:p>
      <w:pPr>
        <w:pStyle w:val="ListParagraph"/>
        <w:numPr>
          <w:ilvl w:val="0"/>
          <w:numId w:val="16"/>
        </w:numPr>
        <w:spacing w:before="0" w:after="80"/>
        <w:rPr/>
      </w:pPr>
      <w:r>
        <w:rPr>
          <w:b/>
          <w:bCs/>
        </w:rPr>
        <w:t xml:space="preserve">Phase 1 (Days 1–3): </w:t>
      </w:r>
      <w:r>
        <w:rPr/>
        <w:t>Stand up Gitea + PostgreSQL, configure basic admin access, and reach a minimum viable, usable setup — comparable to an early-stage SaaS rollout.</w:t>
      </w:r>
    </w:p>
    <w:p>
      <w:pPr>
        <w:pStyle w:val="ListParagraph"/>
        <w:numPr>
          <w:ilvl w:val="0"/>
          <w:numId w:val="17"/>
        </w:numPr>
        <w:spacing w:before="0" w:after="80"/>
        <w:rPr/>
      </w:pPr>
      <w:r>
        <w:rPr>
          <w:b/>
          <w:bCs/>
        </w:rPr>
        <w:t xml:space="preserve">Phase 2 (ongoing): </w:t>
      </w:r>
      <w:r>
        <w:rPr/>
        <w:t>Admin roles, permission structures, and security hardening are still in a learning phase at launch. These will be strengthened progressively as the team's understanding of Gitea's administration deepens, rather than being fully solved before go-live.</w:t>
      </w:r>
    </w:p>
    <w:p>
      <w:pPr>
        <w:pStyle w:val="Normal"/>
        <w:spacing w:before="0" w:after="160"/>
        <w:rPr/>
      </w:pPr>
      <w:r>
        <w:rPr/>
        <w:t>This phased approach lets the team start using the platform quickly while treating security and reliability as a continuous improvement track rather than a one-time gate.</w:t>
      </w:r>
    </w:p>
    <w:p>
      <w:pPr>
        <w:pStyle w:val="Heading1"/>
        <w:spacing w:before="320" w:after="160"/>
        <w:rPr/>
      </w:pPr>
      <w:r>
        <w:rPr/>
        <w:t>6. Migrating Existing Repositories</w:t>
      </w:r>
    </w:p>
    <w:p>
      <w:pPr>
        <w:pStyle w:val="Normal"/>
        <w:spacing w:before="0" w:after="160"/>
        <w:rPr/>
      </w:pPr>
      <w:r>
        <w:rPr/>
        <w:t>Existing repositories currently on GitHub (or GitLab, or another Gitea instance) do not need to be manually cloned and pushed one by one. Gitea includes a built-in migration tool that imports directly from the source platform.</w:t>
      </w:r>
    </w:p>
    <w:p>
      <w:pPr>
        <w:pStyle w:val="ListParagraph"/>
        <w:numPr>
          <w:ilvl w:val="0"/>
          <w:numId w:val="18"/>
        </w:numPr>
        <w:spacing w:before="0" w:after="80"/>
        <w:rPr/>
      </w:pPr>
      <w:r>
        <w:rPr>
          <w:b/>
          <w:bCs/>
        </w:rPr>
        <w:t xml:space="preserve">What is preserved: </w:t>
      </w:r>
      <w:r>
        <w:rPr/>
        <w:t>Full git history (all branches and tags) and, if selected, issues, pull requests (converted to issues with the original diff and discussion preserved as comments), labels, milestones, releases, and the wiki.</w:t>
      </w:r>
    </w:p>
    <w:p>
      <w:pPr>
        <w:pStyle w:val="ListParagraph"/>
        <w:numPr>
          <w:ilvl w:val="0"/>
          <w:numId w:val="19"/>
        </w:numPr>
        <w:spacing w:before="0" w:after="80"/>
        <w:rPr/>
      </w:pPr>
      <w:r>
        <w:rPr>
          <w:b/>
          <w:bCs/>
        </w:rPr>
        <w:t xml:space="preserve">How it's done: </w:t>
      </w:r>
      <w:r>
        <w:rPr/>
        <w:t>New Migration in Gitea → choose the source (GitHub, GitLab, Gitea, Gogs, etc.) → provide the clone URL and, for private repos or full issue/PR import, a personal access token → select what to bring over → migrate.</w:t>
      </w:r>
    </w:p>
    <w:p>
      <w:pPr>
        <w:pStyle w:val="ListParagraph"/>
        <w:numPr>
          <w:ilvl w:val="0"/>
          <w:numId w:val="20"/>
        </w:numPr>
        <w:spacing w:before="0" w:after="80"/>
        <w:rPr/>
      </w:pPr>
      <w:r>
        <w:rPr>
          <w:b/>
          <w:bCs/>
        </w:rPr>
        <w:t xml:space="preserve">Scale: </w:t>
      </w:r>
      <w:r>
        <w:rPr/>
        <w:t>The same migration is available via the API (POST /repos/migrate), which is worth using if there are more than a handful of repositories to move.</w:t>
      </w:r>
    </w:p>
    <w:p>
      <w:pPr>
        <w:pStyle w:val="ListParagraph"/>
        <w:numPr>
          <w:ilvl w:val="0"/>
          <w:numId w:val="21"/>
        </w:numPr>
        <w:spacing w:before="0" w:after="80"/>
        <w:rPr/>
      </w:pPr>
      <w:r>
        <w:rPr>
          <w:b/>
          <w:bCs/>
        </w:rPr>
        <w:t xml:space="preserve">One caveat: </w:t>
      </w:r>
      <w:r>
        <w:rPr/>
        <w:t>Migrated pull requests become Gitea issues with history preserved as comments, not live, mergeable PR objects — the underlying code is already merged upstream by the time of migration, so this is history preservation rather than an active review queue.</w:t>
      </w:r>
    </w:p>
    <w:p>
      <w:pPr>
        <w:pStyle w:val="Normal"/>
        <w:spacing w:before="0" w:after="160"/>
        <w:rPr/>
      </w:pPr>
      <w:r>
        <w:rPr/>
        <w:t>Because this uses the same target environment already set up in Section 5, migration is an incremental step on top of the initial setup rather than a separate project.</w:t>
      </w:r>
    </w:p>
    <w:p>
      <w:pPr>
        <w:pStyle w:val="Heading2"/>
        <w:spacing w:before="240" w:after="120"/>
        <w:rPr/>
      </w:pPr>
      <w:r>
        <w:rPr/>
        <w:t>6.1 Migration Safety — Nothing Is Lost, Errors Are Recoverable</w:t>
      </w:r>
    </w:p>
    <w:p>
      <w:pPr>
        <w:pStyle w:val="Normal"/>
        <w:spacing w:before="0" w:after="160"/>
        <w:rPr/>
      </w:pPr>
      <w:r>
        <w:rPr/>
        <w:t>A key reason this migration carries very low risk is that it is a copy, not a move. This means the process can be retried freely with no risk to the original data.</w:t>
      </w:r>
    </w:p>
    <w:p>
      <w:pPr>
        <w:pStyle w:val="ListParagraph"/>
        <w:numPr>
          <w:ilvl w:val="0"/>
          <w:numId w:val="22"/>
        </w:numPr>
        <w:spacing w:before="0" w:after="80"/>
        <w:rPr/>
      </w:pPr>
      <w:r>
        <w:rPr>
          <w:b/>
          <w:bCs/>
        </w:rPr>
        <w:t xml:space="preserve">The source repo is untouched: </w:t>
      </w:r>
      <w:r>
        <w:rPr/>
        <w:t>Gitea reads from GitHub and copies that data into a new repo on the Gitea instance. It never deletes or modifies anything on the GitHub side during this process.</w:t>
      </w:r>
    </w:p>
    <w:p>
      <w:pPr>
        <w:pStyle w:val="ListParagraph"/>
        <w:numPr>
          <w:ilvl w:val="0"/>
          <w:numId w:val="23"/>
        </w:numPr>
        <w:spacing w:before="0" w:after="80"/>
        <w:rPr/>
      </w:pPr>
      <w:r>
        <w:rPr>
          <w:b/>
          <w:bCs/>
        </w:rPr>
        <w:t xml:space="preserve">Failures are safe to retry: </w:t>
      </w:r>
      <w:r>
        <w:rPr/>
        <w:t>If a migration errors out partway through (network issue, token problem, timeout on a large repo), the GitHub source remains exactly as it was. The only cleanup needed is deleting the incomplete repo entry on Gitea, if one was created, before trying again.</w:t>
      </w:r>
    </w:p>
    <w:p>
      <w:pPr>
        <w:pStyle w:val="ListParagraph"/>
        <w:numPr>
          <w:ilvl w:val="0"/>
          <w:numId w:val="24"/>
        </w:numPr>
        <w:spacing w:before="0" w:after="80"/>
        <w:rPr/>
      </w:pPr>
      <w:r>
        <w:rPr>
          <w:b/>
          <w:bCs/>
        </w:rPr>
        <w:t xml:space="preserve">Deletion is a separate, deliberate step: </w:t>
      </w:r>
      <w:r>
        <w:rPr/>
        <w:t>Gitea never removes the original GitHub repo automatically. The team stays in control of when — and whether — the GitHub copy is retired, and only after confirming the migrated repo on Gitea looks correct.</w:t>
      </w:r>
    </w:p>
    <w:p>
      <w:pPr>
        <w:pStyle w:val="Normal"/>
        <w:spacing w:before="0" w:after="160"/>
        <w:rPr/>
      </w:pPr>
      <w:r>
        <w:rPr/>
        <w:t>In short: the workflow is retry-until-successful, verify, then clean up the source on your own terms. At no point during migration is a repository at risk of ending up in neither place.</w:t>
      </w:r>
    </w:p>
    <w:p>
      <w:pPr>
        <w:pStyle w:val="Heading1"/>
        <w:spacing w:before="320" w:after="160"/>
        <w:rPr/>
      </w:pPr>
      <w:r>
        <w:rPr/>
        <w:t>7. Risks &amp; Open Considerations</w:t>
      </w:r>
    </w:p>
    <w:p>
      <w:pPr>
        <w:pStyle w:val="ListParagraph"/>
        <w:numPr>
          <w:ilvl w:val="0"/>
          <w:numId w:val="25"/>
        </w:numPr>
        <w:spacing w:before="0" w:after="80"/>
        <w:rPr/>
      </w:pPr>
      <w:r>
        <w:rPr>
          <w:b/>
          <w:bCs/>
        </w:rPr>
        <w:t xml:space="preserve">Security maturity: </w:t>
      </w:r>
      <w:r>
        <w:rPr/>
        <w:t>Admin roles and permission hardening are still being learned; early access should be scoped conservatively until this matures.</w:t>
      </w:r>
    </w:p>
    <w:p>
      <w:pPr>
        <w:pStyle w:val="ListParagraph"/>
        <w:numPr>
          <w:ilvl w:val="0"/>
          <w:numId w:val="26"/>
        </w:numPr>
        <w:spacing w:before="0" w:after="80"/>
        <w:rPr/>
      </w:pPr>
      <w:r>
        <w:rPr>
          <w:b/>
          <w:bCs/>
        </w:rPr>
        <w:t xml:space="preserve">Hardware cost (Option 1 only): </w:t>
      </w:r>
      <w:r>
        <w:rPr/>
        <w:t>The local LLM reviewer's hardware requirement is not yet finalized — needs a concrete estimate before committing to that option.</w:t>
      </w:r>
    </w:p>
    <w:p>
      <w:pPr>
        <w:pStyle w:val="ListParagraph"/>
        <w:numPr>
          <w:ilvl w:val="0"/>
          <w:numId w:val="27"/>
        </w:numPr>
        <w:spacing w:before="0" w:after="80"/>
        <w:rPr/>
      </w:pPr>
      <w:r>
        <w:rPr>
          <w:b/>
          <w:bCs/>
        </w:rPr>
        <w:t xml:space="preserve">Network dependency: </w:t>
      </w:r>
      <w:r>
        <w:rPr/>
        <w:t>Both options require the server to be on the same network hub as its users, which constrains remote or multi-site access unless addressed separately.</w:t>
      </w:r>
    </w:p>
    <w:p>
      <w:pPr>
        <w:pStyle w:val="Heading1"/>
        <w:spacing w:before="320" w:after="160"/>
        <w:rPr/>
      </w:pPr>
      <w:r>
        <w:rPr/>
        <w:t>8. Conclusion</w:t>
      </w:r>
    </w:p>
    <w:p>
      <w:pPr>
        <w:pStyle w:val="Normal"/>
        <w:spacing w:before="0" w:after="160"/>
        <w:rPr/>
      </w:pPr>
      <w:r>
        <w:rPr/>
        <w:t>A local, self-hosted git server that replicates the familiar GitHub-like workflow is achievable. Gitea + PostgreSQL can be stood up and made usable within 2–3 days, existing repositories can be migrated in with their history intact, and the platform choice is well-supported by both technical fit and project health. The local LLM reviewer remains a viable enhancement once hardware requirements are confirmed, but is not required to prove the core setup works.</w:t>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3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Lohit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LibreOffice/24.2.7.2$Linux_AARCH64 LibreOffice_project/420$Build-2</Application>
  <AppVersion>15.0000</AppVersion>
  <Pages>4</Pages>
  <Words>1585</Words>
  <Characters>8605</Characters>
  <CharactersWithSpaces>10098</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2026-07-22T07:35:04Z</dcterms:created>
  <dc:creator>Un-named</dc:creator>
  <dc:description/>
  <dc:language>en-US</dc:language>
  <cp:lastModifiedBy/>
  <dcterms:modified xsi:type="dcterms:W3CDTF">2026-07-27T10:22:28Z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