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PHARMACOVIGILANCE INTERNSHIP – TASK 5</w:t>
      </w:r>
    </w:p>
    <w:p>
      <w:pPr>
        <w:jc w:val="center"/>
      </w:pPr>
      <w:r>
        <w:rPr>
          <w:b/>
          <w:sz w:val="28"/>
        </w:rPr>
        <w:t>Individual Case Safety Report (ICSR) – Complete Case Assessment</w:t>
      </w:r>
    </w:p>
    <w:p>
      <w:pPr>
        <w:jc w:val="center"/>
      </w:pPr>
      <w:r>
        <w:rPr>
          <w:i/>
        </w:rPr>
        <w:t>Simulated educational case prepared because no individual patient case was supplied with the task</w:t>
      </w:r>
    </w:p>
    <w:p>
      <w:pPr>
        <w:pStyle w:val="Heading1"/>
      </w:pPr>
      <w:r>
        <w:t>1. Objective</w:t>
      </w:r>
    </w:p>
    <w:p>
      <w:r>
        <w:t>To perform a complete pharmacovigilance assessment of a simulated case, including ICSR validity, ADR identification, seriousness, expectedness assessment, causality assessment, MedDRA coding, narrative preparation, and case classification.</w:t>
      </w:r>
    </w:p>
    <w:p>
      <w:pPr>
        <w:pStyle w:val="Heading1"/>
      </w:pPr>
      <w:r>
        <w:t>2. Simulated Case Source</w:t>
      </w:r>
    </w:p>
    <w:p>
      <w:r>
        <w:t>Source type: Unsolicited/spontaneous report. Reporter: Healthcare professional (physician). Date received by the company: 16 September 2026.</w:t>
      </w:r>
    </w:p>
    <w:p>
      <w:r>
        <w:t>Note: This is a simulated case for internship training and is not a real patient report.</w:t>
      </w:r>
    </w:p>
    <w:p>
      <w:pPr>
        <w:pStyle w:val="Heading1"/>
      </w:pPr>
      <w:r>
        <w:t>3. Patient and Case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rial" w:hAnsi="Arial"/>
                <w:b/>
                <w:sz w:val="18"/>
              </w:rPr>
              <w:t>Field</w:t>
            </w:r>
          </w:p>
        </w:tc>
        <w:tc>
          <w:tcPr>
            <w:tcW w:type="dxa" w:w="5112"/>
            <w:vAlign w:val="center"/>
            <w:shd w:fill="EAF2F8"/>
          </w:tcPr>
          <w:p>
            <w:r/>
            <w:r>
              <w:rPr>
                <w:rFonts w:ascii="Arial" w:hAnsi="Arial"/>
                <w:b/>
                <w:sz w:val="18"/>
              </w:rPr>
              <w:t>Information</w:t>
            </w:r>
          </w:p>
        </w:tc>
      </w:tr>
      <w:tr>
        <w:tc>
          <w:tcPr>
            <w:tcW w:type="dxa" w:w="5112"/>
            <w:vAlign w:val="center"/>
          </w:tcPr>
          <w:p>
            <w:r/>
            <w:r>
              <w:rPr>
                <w:rFonts w:ascii="Arial" w:hAnsi="Arial"/>
                <w:b w:val="0"/>
                <w:sz w:val="18"/>
              </w:rPr>
              <w:t>Patient</w:t>
            </w:r>
          </w:p>
        </w:tc>
        <w:tc>
          <w:tcPr>
            <w:tcW w:type="dxa" w:w="5112"/>
            <w:vAlign w:val="center"/>
          </w:tcPr>
          <w:p>
            <w:r/>
            <w:r>
              <w:rPr>
                <w:rFonts w:ascii="Arial" w:hAnsi="Arial"/>
                <w:b w:val="0"/>
                <w:sz w:val="18"/>
              </w:rPr>
              <w:t>62-year-old male</w:t>
            </w:r>
          </w:p>
        </w:tc>
      </w:tr>
      <w:tr>
        <w:tc>
          <w:tcPr>
            <w:tcW w:type="dxa" w:w="5112"/>
            <w:vAlign w:val="center"/>
          </w:tcPr>
          <w:p>
            <w:r/>
            <w:r>
              <w:rPr>
                <w:rFonts w:ascii="Arial" w:hAnsi="Arial"/>
                <w:b w:val="0"/>
                <w:sz w:val="18"/>
              </w:rPr>
              <w:t>Relevant history</w:t>
            </w:r>
          </w:p>
        </w:tc>
        <w:tc>
          <w:tcPr>
            <w:tcW w:type="dxa" w:w="5112"/>
            <w:vAlign w:val="center"/>
          </w:tcPr>
          <w:p>
            <w:r/>
            <w:r>
              <w:rPr>
                <w:rFonts w:ascii="Arial" w:hAnsi="Arial"/>
                <w:b w:val="0"/>
                <w:sz w:val="18"/>
              </w:rPr>
              <w:t>No relevant medical history reported</w:t>
            </w:r>
          </w:p>
        </w:tc>
      </w:tr>
      <w:tr>
        <w:tc>
          <w:tcPr>
            <w:tcW w:type="dxa" w:w="5112"/>
            <w:vAlign w:val="center"/>
          </w:tcPr>
          <w:p>
            <w:r/>
            <w:r>
              <w:rPr>
                <w:rFonts w:ascii="Arial" w:hAnsi="Arial"/>
                <w:b w:val="0"/>
                <w:sz w:val="18"/>
              </w:rPr>
              <w:t>Suspect drug</w:t>
            </w:r>
          </w:p>
        </w:tc>
        <w:tc>
          <w:tcPr>
            <w:tcW w:type="dxa" w:w="5112"/>
            <w:vAlign w:val="center"/>
          </w:tcPr>
          <w:p>
            <w:r/>
            <w:r>
              <w:rPr>
                <w:rFonts w:ascii="Arial" w:hAnsi="Arial"/>
                <w:b w:val="0"/>
                <w:sz w:val="18"/>
              </w:rPr>
              <w:t>Ibuprofen</w:t>
            </w:r>
          </w:p>
        </w:tc>
      </w:tr>
      <w:tr>
        <w:tc>
          <w:tcPr>
            <w:tcW w:type="dxa" w:w="5112"/>
            <w:vAlign w:val="center"/>
          </w:tcPr>
          <w:p>
            <w:r/>
            <w:r>
              <w:rPr>
                <w:rFonts w:ascii="Arial" w:hAnsi="Arial"/>
                <w:b w:val="0"/>
                <w:sz w:val="18"/>
              </w:rPr>
              <w:t>Dose / route / frequency</w:t>
            </w:r>
          </w:p>
        </w:tc>
        <w:tc>
          <w:tcPr>
            <w:tcW w:type="dxa" w:w="5112"/>
            <w:vAlign w:val="center"/>
          </w:tcPr>
          <w:p>
            <w:r/>
            <w:r>
              <w:rPr>
                <w:rFonts w:ascii="Arial" w:hAnsi="Arial"/>
                <w:b w:val="0"/>
                <w:sz w:val="18"/>
              </w:rPr>
              <w:t>400 mg orally twice daily</w:t>
            </w:r>
          </w:p>
        </w:tc>
      </w:tr>
      <w:tr>
        <w:tc>
          <w:tcPr>
            <w:tcW w:type="dxa" w:w="5112"/>
            <w:vAlign w:val="center"/>
          </w:tcPr>
          <w:p>
            <w:r/>
            <w:r>
              <w:rPr>
                <w:rFonts w:ascii="Arial" w:hAnsi="Arial"/>
                <w:b w:val="0"/>
                <w:sz w:val="18"/>
              </w:rPr>
              <w:t>Indication</w:t>
            </w:r>
          </w:p>
        </w:tc>
        <w:tc>
          <w:tcPr>
            <w:tcW w:type="dxa" w:w="5112"/>
            <w:vAlign w:val="center"/>
          </w:tcPr>
          <w:p>
            <w:r/>
            <w:r>
              <w:rPr>
                <w:rFonts w:ascii="Arial" w:hAnsi="Arial"/>
                <w:b w:val="0"/>
                <w:sz w:val="18"/>
              </w:rPr>
              <w:t>Joint pain</w:t>
            </w:r>
          </w:p>
        </w:tc>
      </w:tr>
      <w:tr>
        <w:tc>
          <w:tcPr>
            <w:tcW w:type="dxa" w:w="5112"/>
            <w:vAlign w:val="center"/>
          </w:tcPr>
          <w:p>
            <w:r/>
            <w:r>
              <w:rPr>
                <w:rFonts w:ascii="Arial" w:hAnsi="Arial"/>
                <w:b w:val="0"/>
                <w:sz w:val="18"/>
              </w:rPr>
              <w:t>Therapy start date</w:t>
            </w:r>
          </w:p>
        </w:tc>
        <w:tc>
          <w:tcPr>
            <w:tcW w:type="dxa" w:w="5112"/>
            <w:vAlign w:val="center"/>
          </w:tcPr>
          <w:p>
            <w:r/>
            <w:r>
              <w:rPr>
                <w:rFonts w:ascii="Arial" w:hAnsi="Arial"/>
                <w:b w:val="0"/>
                <w:sz w:val="18"/>
              </w:rPr>
              <w:t>5 September 2026</w:t>
            </w:r>
          </w:p>
        </w:tc>
      </w:tr>
      <w:tr>
        <w:tc>
          <w:tcPr>
            <w:tcW w:type="dxa" w:w="5112"/>
            <w:vAlign w:val="center"/>
          </w:tcPr>
          <w:p>
            <w:r/>
            <w:r>
              <w:rPr>
                <w:rFonts w:ascii="Arial" w:hAnsi="Arial"/>
                <w:b w:val="0"/>
                <w:sz w:val="18"/>
              </w:rPr>
              <w:t>Concomitant drug</w:t>
            </w:r>
          </w:p>
        </w:tc>
        <w:tc>
          <w:tcPr>
            <w:tcW w:type="dxa" w:w="5112"/>
            <w:vAlign w:val="center"/>
          </w:tcPr>
          <w:p>
            <w:r/>
            <w:r>
              <w:rPr>
                <w:rFonts w:ascii="Arial" w:hAnsi="Arial"/>
                <w:b w:val="0"/>
                <w:sz w:val="18"/>
              </w:rPr>
              <w:t>Aspirin 75 mg orally once daily</w:t>
            </w:r>
          </w:p>
        </w:tc>
      </w:tr>
      <w:tr>
        <w:tc>
          <w:tcPr>
            <w:tcW w:type="dxa" w:w="5112"/>
            <w:vAlign w:val="center"/>
          </w:tcPr>
          <w:p>
            <w:r/>
            <w:r>
              <w:rPr>
                <w:rFonts w:ascii="Arial" w:hAnsi="Arial"/>
                <w:b w:val="0"/>
                <w:sz w:val="18"/>
              </w:rPr>
              <w:t>Event onset</w:t>
            </w:r>
          </w:p>
        </w:tc>
        <w:tc>
          <w:tcPr>
            <w:tcW w:type="dxa" w:w="5112"/>
            <w:vAlign w:val="center"/>
          </w:tcPr>
          <w:p>
            <w:r/>
            <w:r>
              <w:rPr>
                <w:rFonts w:ascii="Arial" w:hAnsi="Arial"/>
                <w:b w:val="0"/>
                <w:sz w:val="18"/>
              </w:rPr>
              <w:t>10 September 2026</w:t>
            </w:r>
          </w:p>
        </w:tc>
      </w:tr>
      <w:tr>
        <w:tc>
          <w:tcPr>
            <w:tcW w:type="dxa" w:w="5112"/>
            <w:vAlign w:val="center"/>
          </w:tcPr>
          <w:p>
            <w:r/>
            <w:r>
              <w:rPr>
                <w:rFonts w:ascii="Arial" w:hAnsi="Arial"/>
                <w:b w:val="0"/>
                <w:sz w:val="18"/>
              </w:rPr>
              <w:t>Reported events</w:t>
            </w:r>
          </w:p>
        </w:tc>
        <w:tc>
          <w:tcPr>
            <w:tcW w:type="dxa" w:w="5112"/>
            <w:vAlign w:val="center"/>
          </w:tcPr>
          <w:p>
            <w:r/>
            <w:r>
              <w:rPr>
                <w:rFonts w:ascii="Arial" w:hAnsi="Arial"/>
                <w:b w:val="0"/>
                <w:sz w:val="18"/>
              </w:rPr>
              <w:t>Black, tarry stools and dizziness</w:t>
            </w:r>
          </w:p>
        </w:tc>
      </w:tr>
      <w:tr>
        <w:tc>
          <w:tcPr>
            <w:tcW w:type="dxa" w:w="5112"/>
            <w:vAlign w:val="center"/>
          </w:tcPr>
          <w:p>
            <w:r/>
            <w:r>
              <w:rPr>
                <w:rFonts w:ascii="Arial" w:hAnsi="Arial"/>
                <w:b w:val="0"/>
                <w:sz w:val="18"/>
              </w:rPr>
              <w:t>Hospitalization</w:t>
            </w:r>
          </w:p>
        </w:tc>
        <w:tc>
          <w:tcPr>
            <w:tcW w:type="dxa" w:w="5112"/>
            <w:vAlign w:val="center"/>
          </w:tcPr>
          <w:p>
            <w:r/>
            <w:r>
              <w:rPr>
                <w:rFonts w:ascii="Arial" w:hAnsi="Arial"/>
                <w:b w:val="0"/>
                <w:sz w:val="18"/>
              </w:rPr>
              <w:t>Admitted on 11 September 2026</w:t>
            </w:r>
          </w:p>
        </w:tc>
      </w:tr>
      <w:tr>
        <w:tc>
          <w:tcPr>
            <w:tcW w:type="dxa" w:w="5112"/>
            <w:vAlign w:val="center"/>
          </w:tcPr>
          <w:p>
            <w:r/>
            <w:r>
              <w:rPr>
                <w:rFonts w:ascii="Arial" w:hAnsi="Arial"/>
                <w:b w:val="0"/>
                <w:sz w:val="18"/>
              </w:rPr>
              <w:t>Investigation</w:t>
            </w:r>
          </w:p>
        </w:tc>
        <w:tc>
          <w:tcPr>
            <w:tcW w:type="dxa" w:w="5112"/>
            <w:vAlign w:val="center"/>
          </w:tcPr>
          <w:p>
            <w:r/>
            <w:r>
              <w:rPr>
                <w:rFonts w:ascii="Arial" w:hAnsi="Arial"/>
                <w:b w:val="0"/>
                <w:sz w:val="18"/>
              </w:rPr>
              <w:t>Hemoglobin 8.2 g/dL</w:t>
            </w:r>
          </w:p>
        </w:tc>
      </w:tr>
      <w:tr>
        <w:tc>
          <w:tcPr>
            <w:tcW w:type="dxa" w:w="5112"/>
            <w:vAlign w:val="center"/>
          </w:tcPr>
          <w:p>
            <w:r/>
            <w:r>
              <w:rPr>
                <w:rFonts w:ascii="Arial" w:hAnsi="Arial"/>
                <w:b w:val="0"/>
                <w:sz w:val="18"/>
              </w:rPr>
              <w:t>Action taken with suspect drug</w:t>
            </w:r>
          </w:p>
        </w:tc>
        <w:tc>
          <w:tcPr>
            <w:tcW w:type="dxa" w:w="5112"/>
            <w:vAlign w:val="center"/>
          </w:tcPr>
          <w:p>
            <w:r/>
            <w:r>
              <w:rPr>
                <w:rFonts w:ascii="Arial" w:hAnsi="Arial"/>
                <w:b w:val="0"/>
                <w:sz w:val="18"/>
              </w:rPr>
              <w:t>Ibuprofen discontinued</w:t>
            </w:r>
          </w:p>
        </w:tc>
      </w:tr>
      <w:tr>
        <w:tc>
          <w:tcPr>
            <w:tcW w:type="dxa" w:w="5112"/>
            <w:vAlign w:val="center"/>
          </w:tcPr>
          <w:p>
            <w:r/>
            <w:r>
              <w:rPr>
                <w:rFonts w:ascii="Arial" w:hAnsi="Arial"/>
                <w:b w:val="0"/>
                <w:sz w:val="18"/>
              </w:rPr>
              <w:t>Action with concomitant drug</w:t>
            </w:r>
          </w:p>
        </w:tc>
        <w:tc>
          <w:tcPr>
            <w:tcW w:type="dxa" w:w="5112"/>
            <w:vAlign w:val="center"/>
          </w:tcPr>
          <w:p>
            <w:r/>
            <w:r>
              <w:rPr>
                <w:rFonts w:ascii="Arial" w:hAnsi="Arial"/>
                <w:b w:val="0"/>
                <w:sz w:val="18"/>
              </w:rPr>
              <w:t>Aspirin continued</w:t>
            </w:r>
          </w:p>
        </w:tc>
      </w:tr>
      <w:tr>
        <w:tc>
          <w:tcPr>
            <w:tcW w:type="dxa" w:w="5112"/>
            <w:vAlign w:val="center"/>
          </w:tcPr>
          <w:p>
            <w:r/>
            <w:r>
              <w:rPr>
                <w:rFonts w:ascii="Arial" w:hAnsi="Arial"/>
                <w:b w:val="0"/>
                <w:sz w:val="18"/>
              </w:rPr>
              <w:t>Outcome</w:t>
            </w:r>
          </w:p>
        </w:tc>
        <w:tc>
          <w:tcPr>
            <w:tcW w:type="dxa" w:w="5112"/>
            <w:vAlign w:val="center"/>
          </w:tcPr>
          <w:p>
            <w:r/>
            <w:r>
              <w:rPr>
                <w:rFonts w:ascii="Arial" w:hAnsi="Arial"/>
                <w:b w:val="0"/>
                <w:sz w:val="18"/>
              </w:rPr>
              <w:t>Not reported at the time of the report</w:t>
            </w:r>
          </w:p>
        </w:tc>
      </w:tr>
      <w:tr>
        <w:tc>
          <w:tcPr>
            <w:tcW w:type="dxa" w:w="5112"/>
            <w:vAlign w:val="center"/>
          </w:tcPr>
          <w:p>
            <w:r/>
            <w:r>
              <w:rPr>
                <w:rFonts w:ascii="Arial" w:hAnsi="Arial"/>
                <w:b w:val="0"/>
                <w:sz w:val="18"/>
              </w:rPr>
              <w:t>Seriousness</w:t>
            </w:r>
          </w:p>
        </w:tc>
        <w:tc>
          <w:tcPr>
            <w:tcW w:type="dxa" w:w="5112"/>
            <w:vAlign w:val="center"/>
          </w:tcPr>
          <w:p>
            <w:r/>
            <w:r>
              <w:rPr>
                <w:rFonts w:ascii="Arial" w:hAnsi="Arial"/>
                <w:b w:val="0"/>
                <w:sz w:val="18"/>
              </w:rPr>
              <w:t>Serious – hospitalization</w:t>
            </w:r>
          </w:p>
        </w:tc>
      </w:tr>
    </w:tbl>
    <w:p>
      <w:pPr>
        <w:pStyle w:val="Heading1"/>
      </w:pPr>
      <w:r>
        <w:t>4. ICSR Minimum Validity Assessment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AF2F8"/>
          </w:tcPr>
          <w:p>
            <w:r/>
            <w:r>
              <w:rPr>
                <w:rFonts w:ascii="Arial" w:hAnsi="Arial"/>
                <w:b/>
                <w:sz w:val="18"/>
              </w:rPr>
              <w:t>Minimum criterion</w:t>
            </w:r>
          </w:p>
        </w:tc>
        <w:tc>
          <w:tcPr>
            <w:tcW w:type="dxa" w:w="3408"/>
            <w:vAlign w:val="center"/>
            <w:shd w:fill="EAF2F8"/>
          </w:tcPr>
          <w:p>
            <w:r/>
            <w:r>
              <w:rPr>
                <w:rFonts w:ascii="Arial" w:hAnsi="Arial"/>
                <w:b/>
                <w:sz w:val="18"/>
              </w:rPr>
              <w:t>Present?</w:t>
            </w:r>
          </w:p>
        </w:tc>
        <w:tc>
          <w:tcPr>
            <w:tcW w:type="dxa" w:w="3408"/>
            <w:vAlign w:val="center"/>
            <w:shd w:fill="EAF2F8"/>
          </w:tcPr>
          <w:p>
            <w:r/>
            <w:r>
              <w:rPr>
                <w:rFonts w:ascii="Arial" w:hAnsi="Arial"/>
                <w:b/>
                <w:sz w:val="18"/>
              </w:rPr>
              <w:t>Assessment</w:t>
            </w:r>
          </w:p>
        </w:tc>
      </w:tr>
      <w:tr>
        <w:tc>
          <w:tcPr>
            <w:tcW w:type="dxa" w:w="3408"/>
            <w:vAlign w:val="center"/>
          </w:tcPr>
          <w:p>
            <w:r/>
            <w:r>
              <w:rPr>
                <w:rFonts w:ascii="Arial" w:hAnsi="Arial"/>
                <w:b w:val="0"/>
                <w:sz w:val="18"/>
              </w:rPr>
              <w:t>Identifiable patient</w:t>
            </w:r>
          </w:p>
        </w:tc>
        <w:tc>
          <w:tcPr>
            <w:tcW w:type="dxa" w:w="3408"/>
            <w:vAlign w:val="center"/>
          </w:tcPr>
          <w:p>
            <w:r/>
            <w:r>
              <w:rPr>
                <w:rFonts w:ascii="Arial" w:hAnsi="Arial"/>
                <w:b w:val="0"/>
                <w:sz w:val="18"/>
              </w:rPr>
              <w:t>Yes</w:t>
            </w:r>
          </w:p>
        </w:tc>
        <w:tc>
          <w:tcPr>
            <w:tcW w:type="dxa" w:w="3408"/>
            <w:vAlign w:val="center"/>
          </w:tcPr>
          <w:p>
            <w:r/>
            <w:r>
              <w:rPr>
                <w:rFonts w:ascii="Arial" w:hAnsi="Arial"/>
                <w:b w:val="0"/>
                <w:sz w:val="18"/>
              </w:rPr>
              <w:t>62-year-old male</w:t>
            </w:r>
          </w:p>
        </w:tc>
      </w:tr>
      <w:tr>
        <w:tc>
          <w:tcPr>
            <w:tcW w:type="dxa" w:w="3408"/>
            <w:vAlign w:val="center"/>
          </w:tcPr>
          <w:p>
            <w:r/>
            <w:r>
              <w:rPr>
                <w:rFonts w:ascii="Arial" w:hAnsi="Arial"/>
                <w:b w:val="0"/>
                <w:sz w:val="18"/>
              </w:rPr>
              <w:t>Identifiable reporter</w:t>
            </w:r>
          </w:p>
        </w:tc>
        <w:tc>
          <w:tcPr>
            <w:tcW w:type="dxa" w:w="3408"/>
            <w:vAlign w:val="center"/>
          </w:tcPr>
          <w:p>
            <w:r/>
            <w:r>
              <w:rPr>
                <w:rFonts w:ascii="Arial" w:hAnsi="Arial"/>
                <w:b w:val="0"/>
                <w:sz w:val="18"/>
              </w:rPr>
              <w:t>Yes</w:t>
            </w:r>
          </w:p>
        </w:tc>
        <w:tc>
          <w:tcPr>
            <w:tcW w:type="dxa" w:w="3408"/>
            <w:vAlign w:val="center"/>
          </w:tcPr>
          <w:p>
            <w:r/>
            <w:r>
              <w:rPr>
                <w:rFonts w:ascii="Arial" w:hAnsi="Arial"/>
                <w:b w:val="0"/>
                <w:sz w:val="18"/>
              </w:rPr>
              <w:t>Physician/healthcare professional identified as reporter type</w:t>
            </w:r>
          </w:p>
        </w:tc>
      </w:tr>
      <w:tr>
        <w:tc>
          <w:tcPr>
            <w:tcW w:type="dxa" w:w="3408"/>
            <w:vAlign w:val="center"/>
          </w:tcPr>
          <w:p>
            <w:r/>
            <w:r>
              <w:rPr>
                <w:rFonts w:ascii="Arial" w:hAnsi="Arial"/>
                <w:b w:val="0"/>
                <w:sz w:val="18"/>
              </w:rPr>
              <w:t>Suspected medicinal product</w:t>
            </w:r>
          </w:p>
        </w:tc>
        <w:tc>
          <w:tcPr>
            <w:tcW w:type="dxa" w:w="3408"/>
            <w:vAlign w:val="center"/>
          </w:tcPr>
          <w:p>
            <w:r/>
            <w:r>
              <w:rPr>
                <w:rFonts w:ascii="Arial" w:hAnsi="Arial"/>
                <w:b w:val="0"/>
                <w:sz w:val="18"/>
              </w:rPr>
              <w:t>Yes</w:t>
            </w:r>
          </w:p>
        </w:tc>
        <w:tc>
          <w:tcPr>
            <w:tcW w:type="dxa" w:w="3408"/>
            <w:vAlign w:val="center"/>
          </w:tcPr>
          <w:p>
            <w:r/>
            <w:r>
              <w:rPr>
                <w:rFonts w:ascii="Arial" w:hAnsi="Arial"/>
                <w:b w:val="0"/>
                <w:sz w:val="18"/>
              </w:rPr>
              <w:t>Ibuprofen</w:t>
            </w:r>
          </w:p>
        </w:tc>
      </w:tr>
      <w:tr>
        <w:tc>
          <w:tcPr>
            <w:tcW w:type="dxa" w:w="3408"/>
            <w:vAlign w:val="center"/>
          </w:tcPr>
          <w:p>
            <w:r/>
            <w:r>
              <w:rPr>
                <w:rFonts w:ascii="Arial" w:hAnsi="Arial"/>
                <w:b w:val="0"/>
                <w:sz w:val="18"/>
              </w:rPr>
              <w:t>Adverse reaction/event</w:t>
            </w:r>
          </w:p>
        </w:tc>
        <w:tc>
          <w:tcPr>
            <w:tcW w:type="dxa" w:w="3408"/>
            <w:vAlign w:val="center"/>
          </w:tcPr>
          <w:p>
            <w:r/>
            <w:r>
              <w:rPr>
                <w:rFonts w:ascii="Arial" w:hAnsi="Arial"/>
                <w:b w:val="0"/>
                <w:sz w:val="18"/>
              </w:rPr>
              <w:t>Yes</w:t>
            </w:r>
          </w:p>
        </w:tc>
        <w:tc>
          <w:tcPr>
            <w:tcW w:type="dxa" w:w="3408"/>
            <w:vAlign w:val="center"/>
          </w:tcPr>
          <w:p>
            <w:r/>
            <w:r>
              <w:rPr>
                <w:rFonts w:ascii="Arial" w:hAnsi="Arial"/>
                <w:b w:val="0"/>
                <w:sz w:val="18"/>
              </w:rPr>
              <w:t>Black, tarry stools and dizziness</w:t>
            </w:r>
          </w:p>
        </w:tc>
      </w:tr>
    </w:tbl>
    <w:p>
      <w:r>
        <w:t>Conclusion: The report meets the four basic criteria for a valid ICSR based on the simulated information.</w:t>
      </w:r>
    </w:p>
    <w:p>
      <w:pPr>
        <w:pStyle w:val="Heading1"/>
      </w:pPr>
      <w:r>
        <w:t>5. ADR / Event Identification</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AF2F8"/>
          </w:tcPr>
          <w:p>
            <w:r/>
            <w:r>
              <w:rPr>
                <w:rFonts w:ascii="Arial" w:hAnsi="Arial"/>
                <w:b/>
                <w:sz w:val="18"/>
              </w:rPr>
              <w:t>Reported information</w:t>
            </w:r>
          </w:p>
        </w:tc>
        <w:tc>
          <w:tcPr>
            <w:tcW w:type="dxa" w:w="3408"/>
            <w:vAlign w:val="center"/>
            <w:shd w:fill="EAF2F8"/>
          </w:tcPr>
          <w:p>
            <w:r/>
            <w:r>
              <w:rPr>
                <w:rFonts w:ascii="Arial" w:hAnsi="Arial"/>
                <w:b/>
                <w:sz w:val="18"/>
              </w:rPr>
              <w:t>Proposed MedDRA Preferred Term*</w:t>
            </w:r>
          </w:p>
        </w:tc>
        <w:tc>
          <w:tcPr>
            <w:tcW w:type="dxa" w:w="3408"/>
            <w:vAlign w:val="center"/>
            <w:shd w:fill="EAF2F8"/>
          </w:tcPr>
          <w:p>
            <w:r/>
            <w:r>
              <w:rPr>
                <w:rFonts w:ascii="Arial" w:hAnsi="Arial"/>
                <w:b/>
                <w:sz w:val="18"/>
              </w:rPr>
              <w:t>Comment</w:t>
            </w:r>
          </w:p>
        </w:tc>
      </w:tr>
      <w:tr>
        <w:tc>
          <w:tcPr>
            <w:tcW w:type="dxa" w:w="3408"/>
            <w:vAlign w:val="center"/>
          </w:tcPr>
          <w:p>
            <w:r/>
            <w:r>
              <w:rPr>
                <w:rFonts w:ascii="Arial" w:hAnsi="Arial"/>
                <w:b w:val="0"/>
                <w:sz w:val="18"/>
              </w:rPr>
              <w:t>Black, tarry stools</w:t>
            </w:r>
          </w:p>
        </w:tc>
        <w:tc>
          <w:tcPr>
            <w:tcW w:type="dxa" w:w="3408"/>
            <w:vAlign w:val="center"/>
          </w:tcPr>
          <w:p>
            <w:r/>
            <w:r>
              <w:rPr>
                <w:rFonts w:ascii="Arial" w:hAnsi="Arial"/>
                <w:b w:val="0"/>
                <w:sz w:val="18"/>
              </w:rPr>
              <w:t>Melena</w:t>
            </w:r>
          </w:p>
        </w:tc>
        <w:tc>
          <w:tcPr>
            <w:tcW w:type="dxa" w:w="3408"/>
            <w:vAlign w:val="center"/>
          </w:tcPr>
          <w:p>
            <w:r/>
            <w:r>
              <w:rPr>
                <w:rFonts w:ascii="Arial" w:hAnsi="Arial"/>
                <w:b w:val="0"/>
                <w:sz w:val="18"/>
              </w:rPr>
              <w:t>Represents the reported clinical finding without adding an unreported diagnosis.</w:t>
            </w:r>
          </w:p>
        </w:tc>
      </w:tr>
      <w:tr>
        <w:tc>
          <w:tcPr>
            <w:tcW w:type="dxa" w:w="3408"/>
            <w:vAlign w:val="center"/>
          </w:tcPr>
          <w:p>
            <w:r/>
            <w:r>
              <w:rPr>
                <w:rFonts w:ascii="Arial" w:hAnsi="Arial"/>
                <w:b w:val="0"/>
                <w:sz w:val="18"/>
              </w:rPr>
              <w:t>Dizziness</w:t>
            </w:r>
          </w:p>
        </w:tc>
        <w:tc>
          <w:tcPr>
            <w:tcW w:type="dxa" w:w="3408"/>
            <w:vAlign w:val="center"/>
          </w:tcPr>
          <w:p>
            <w:r/>
            <w:r>
              <w:rPr>
                <w:rFonts w:ascii="Arial" w:hAnsi="Arial"/>
                <w:b w:val="0"/>
                <w:sz w:val="18"/>
              </w:rPr>
              <w:t>Dizziness</w:t>
            </w:r>
          </w:p>
        </w:tc>
        <w:tc>
          <w:tcPr>
            <w:tcW w:type="dxa" w:w="3408"/>
            <w:vAlign w:val="center"/>
          </w:tcPr>
          <w:p>
            <w:r/>
            <w:r>
              <w:rPr>
                <w:rFonts w:ascii="Arial" w:hAnsi="Arial"/>
                <w:b w:val="0"/>
                <w:sz w:val="18"/>
              </w:rPr>
              <w:t>Reported symptom.</w:t>
            </w:r>
          </w:p>
        </w:tc>
      </w:tr>
    </w:tbl>
    <w:p>
      <w:r>
        <w:t>*MedDRA coding should always be performed against the MedDRA version licensed and in use by the organization. The terms above are presented as an educational example and should be verified in the applicable MedDRA browser before production use.</w:t>
      </w:r>
    </w:p>
    <w:p>
      <w:pPr>
        <w:pStyle w:val="Heading1"/>
      </w:pPr>
      <w:r>
        <w:t>6. Seriousness Assessment</w:t>
      </w:r>
    </w:p>
    <w:p>
      <w:r>
        <w:t>The case is classified as SERIOUS because the patient was hospitalized on 11 September 2026 following the reported events.</w:t>
      </w:r>
    </w:p>
    <w:p>
      <w:pPr>
        <w:pStyle w:val="ListBullet"/>
      </w:pPr>
      <w:r>
        <w:t>Seriousness criterion: Hospitalization (initial or prolonged).</w:t>
      </w:r>
    </w:p>
    <w:p>
      <w:pPr>
        <w:pStyle w:val="ListBullet"/>
      </w:pPr>
      <w:r>
        <w:t>Death: Not reported.</w:t>
      </w:r>
    </w:p>
    <w:p>
      <w:pPr>
        <w:pStyle w:val="ListBullet"/>
      </w:pPr>
      <w:r>
        <w:t>Life-threatening: Not reported.</w:t>
      </w:r>
    </w:p>
    <w:p>
      <w:pPr>
        <w:pStyle w:val="ListBullet"/>
      </w:pPr>
      <w:r>
        <w:t>Persistent/significant disability: Not reported.</w:t>
      </w:r>
    </w:p>
    <w:p>
      <w:pPr>
        <w:pStyle w:val="ListBullet"/>
      </w:pPr>
      <w:r>
        <w:t>Congenital anomaly: Not applicable/not reported.</w:t>
      </w:r>
    </w:p>
    <w:p>
      <w:pPr>
        <w:pStyle w:val="ListBullet"/>
      </w:pPr>
      <w:r>
        <w:t>Other medically important condition: Not required for the seriousness conclusion because hospitalization is documented.</w:t>
      </w:r>
    </w:p>
    <w:p>
      <w:pPr>
        <w:pStyle w:val="Heading1"/>
      </w:pPr>
      <w:r>
        <w:t>7. Expectedness Assessment</w:t>
      </w:r>
    </w:p>
    <w:p>
      <w:r>
        <w:t>Expectedness cannot be definitively determined from the supplied simulated case alone because no applicable company/product reference safety information (e.g., local label or Investigator's Brochure) and no reference date/version were provided. Therefore, the report should not invent an expectedness result.</w:t>
      </w:r>
    </w:p>
    <w:p>
      <w:r>
        <w:t>For an actual ICSR, expectedness would be assessed against the applicable current reference safety information for the suspect product and indication.</w:t>
      </w:r>
    </w:p>
    <w:p>
      <w:pPr>
        <w:pStyle w:val="Heading1"/>
      </w:pPr>
      <w:r>
        <w:t>8. Causality Assessment</w:t>
      </w:r>
    </w:p>
    <w:p>
      <w:r>
        <w:t>A WHO-UMC-style assessment is used here for training purposes.</w:t>
      </w:r>
    </w:p>
    <w:tbl>
      <w:tblPr>
        <w:tblStyle w:val="TableGrid"/>
        <w:tblW w:type="auto" w:w="0"/>
        <w:tblLook w:firstColumn="1" w:firstRow="1" w:lastColumn="0" w:lastRow="0" w:noHBand="0" w:noVBand="1" w:val="04A0"/>
      </w:tblPr>
      <w:tblGrid>
        <w:gridCol w:w="5112"/>
        <w:gridCol w:w="5112"/>
      </w:tblGrid>
      <w:tr>
        <w:tc>
          <w:tcPr>
            <w:tcW w:type="dxa" w:w="5112"/>
            <w:vAlign w:val="center"/>
            <w:shd w:fill="EAF2F8"/>
          </w:tcPr>
          <w:p>
            <w:r/>
            <w:r>
              <w:rPr>
                <w:rFonts w:ascii="Arial" w:hAnsi="Arial"/>
                <w:b/>
                <w:sz w:val="18"/>
              </w:rPr>
              <w:t>Causality factor</w:t>
            </w:r>
          </w:p>
        </w:tc>
        <w:tc>
          <w:tcPr>
            <w:tcW w:type="dxa" w:w="5112"/>
            <w:vAlign w:val="center"/>
            <w:shd w:fill="EAF2F8"/>
          </w:tcPr>
          <w:p>
            <w:r/>
            <w:r>
              <w:rPr>
                <w:rFonts w:ascii="Arial" w:hAnsi="Arial"/>
                <w:b/>
                <w:sz w:val="18"/>
              </w:rPr>
              <w:t>Assessment</w:t>
            </w:r>
          </w:p>
        </w:tc>
      </w:tr>
      <w:tr>
        <w:tc>
          <w:tcPr>
            <w:tcW w:type="dxa" w:w="5112"/>
            <w:vAlign w:val="center"/>
          </w:tcPr>
          <w:p>
            <w:r/>
            <w:r>
              <w:rPr>
                <w:rFonts w:ascii="Arial" w:hAnsi="Arial"/>
                <w:b w:val="0"/>
                <w:sz w:val="18"/>
              </w:rPr>
              <w:t>Temporal relationship</w:t>
            </w:r>
          </w:p>
        </w:tc>
        <w:tc>
          <w:tcPr>
            <w:tcW w:type="dxa" w:w="5112"/>
            <w:vAlign w:val="center"/>
          </w:tcPr>
          <w:p>
            <w:r/>
            <w:r>
              <w:rPr>
                <w:rFonts w:ascii="Arial" w:hAnsi="Arial"/>
                <w:b w:val="0"/>
                <w:sz w:val="18"/>
              </w:rPr>
              <w:t>Reasonable: ibuprofen started 5 September and events began 10 September.</w:t>
            </w:r>
          </w:p>
        </w:tc>
      </w:tr>
      <w:tr>
        <w:tc>
          <w:tcPr>
            <w:tcW w:type="dxa" w:w="5112"/>
            <w:vAlign w:val="center"/>
          </w:tcPr>
          <w:p>
            <w:r/>
            <w:r>
              <w:rPr>
                <w:rFonts w:ascii="Arial" w:hAnsi="Arial"/>
                <w:b w:val="0"/>
                <w:sz w:val="18"/>
              </w:rPr>
              <w:t>Dechallenge</w:t>
            </w:r>
          </w:p>
        </w:tc>
        <w:tc>
          <w:tcPr>
            <w:tcW w:type="dxa" w:w="5112"/>
            <w:vAlign w:val="center"/>
          </w:tcPr>
          <w:p>
            <w:r/>
            <w:r>
              <w:rPr>
                <w:rFonts w:ascii="Arial" w:hAnsi="Arial"/>
                <w:b w:val="0"/>
                <w:sz w:val="18"/>
              </w:rPr>
              <w:t>Ibuprofen was discontinued; however, the outcome was not reported, so improvement after withdrawal cannot be established.</w:t>
            </w:r>
          </w:p>
        </w:tc>
      </w:tr>
      <w:tr>
        <w:tc>
          <w:tcPr>
            <w:tcW w:type="dxa" w:w="5112"/>
            <w:vAlign w:val="center"/>
          </w:tcPr>
          <w:p>
            <w:r/>
            <w:r>
              <w:rPr>
                <w:rFonts w:ascii="Arial" w:hAnsi="Arial"/>
                <w:b w:val="0"/>
                <w:sz w:val="18"/>
              </w:rPr>
              <w:t>Rechallenge</w:t>
            </w:r>
          </w:p>
        </w:tc>
        <w:tc>
          <w:tcPr>
            <w:tcW w:type="dxa" w:w="5112"/>
            <w:vAlign w:val="center"/>
          </w:tcPr>
          <w:p>
            <w:r/>
            <w:r>
              <w:rPr>
                <w:rFonts w:ascii="Arial" w:hAnsi="Arial"/>
                <w:b w:val="0"/>
                <w:sz w:val="18"/>
              </w:rPr>
              <w:t>Not reported.</w:t>
            </w:r>
          </w:p>
        </w:tc>
      </w:tr>
      <w:tr>
        <w:tc>
          <w:tcPr>
            <w:tcW w:type="dxa" w:w="5112"/>
            <w:vAlign w:val="center"/>
          </w:tcPr>
          <w:p>
            <w:r/>
            <w:r>
              <w:rPr>
                <w:rFonts w:ascii="Arial" w:hAnsi="Arial"/>
                <w:b w:val="0"/>
                <w:sz w:val="18"/>
              </w:rPr>
              <w:t>Alternative causes</w:t>
            </w:r>
          </w:p>
        </w:tc>
        <w:tc>
          <w:tcPr>
            <w:tcW w:type="dxa" w:w="5112"/>
            <w:vAlign w:val="center"/>
          </w:tcPr>
          <w:p>
            <w:r/>
            <w:r>
              <w:rPr>
                <w:rFonts w:ascii="Arial" w:hAnsi="Arial"/>
                <w:b w:val="0"/>
                <w:sz w:val="18"/>
              </w:rPr>
              <w:t>Concomitant aspirin is a potential contributing medication; the case does not establish its role.</w:t>
            </w:r>
          </w:p>
        </w:tc>
      </w:tr>
      <w:tr>
        <w:tc>
          <w:tcPr>
            <w:tcW w:type="dxa" w:w="5112"/>
            <w:vAlign w:val="center"/>
          </w:tcPr>
          <w:p>
            <w:r/>
            <w:r>
              <w:rPr>
                <w:rFonts w:ascii="Arial" w:hAnsi="Arial"/>
                <w:b w:val="0"/>
                <w:sz w:val="18"/>
              </w:rPr>
              <w:t>Objective evidence</w:t>
            </w:r>
          </w:p>
        </w:tc>
        <w:tc>
          <w:tcPr>
            <w:tcW w:type="dxa" w:w="5112"/>
            <w:vAlign w:val="center"/>
          </w:tcPr>
          <w:p>
            <w:r/>
            <w:r>
              <w:rPr>
                <w:rFonts w:ascii="Arial" w:hAnsi="Arial"/>
                <w:b w:val="0"/>
                <w:sz w:val="18"/>
              </w:rPr>
              <w:t>Hospitalization and hemoglobin 8.2 g/dL support clinical significance, but no definitive diagnosis is supplied.</w:t>
            </w:r>
          </w:p>
        </w:tc>
      </w:tr>
      <w:tr>
        <w:tc>
          <w:tcPr>
            <w:tcW w:type="dxa" w:w="5112"/>
            <w:vAlign w:val="center"/>
          </w:tcPr>
          <w:p>
            <w:r/>
            <w:r>
              <w:rPr>
                <w:rFonts w:ascii="Arial" w:hAnsi="Arial"/>
                <w:b w:val="0"/>
                <w:sz w:val="18"/>
              </w:rPr>
              <w:t>Overall assessment</w:t>
            </w:r>
          </w:p>
        </w:tc>
        <w:tc>
          <w:tcPr>
            <w:tcW w:type="dxa" w:w="5112"/>
            <w:vAlign w:val="center"/>
          </w:tcPr>
          <w:p>
            <w:r/>
            <w:r>
              <w:rPr>
                <w:rFonts w:ascii="Arial" w:hAnsi="Arial"/>
                <w:b w:val="0"/>
                <w:sz w:val="18"/>
              </w:rPr>
              <w:t>Possible drug-related relationship; insufficient information for a definite causality conclusion.</w:t>
            </w:r>
          </w:p>
        </w:tc>
      </w:tr>
    </w:tbl>
    <w:p>
      <w:pPr>
        <w:pStyle w:val="Heading1"/>
      </w:pPr>
      <w:r>
        <w:t>9. Narrative</w:t>
      </w:r>
    </w:p>
    <w:p>
      <w:r>
        <w:t>A 62-year-old male patient was prescribed ibuprofen 400 mg orally twice daily for joint pain, starting on 5 September 2026. The patient was also receiving concomitant aspirin 75 mg orally once daily. On 10 September 2026, the patient developed black, tarry stools and dizziness. On 11 September 2026, the patient was admitted to the hospital. Hemoglobin was reported as 8.2 g/dL. Ibuprofen was discontinued, while aspirin was continued. At the time of the report, the outcome of the events was not reported. The case was considered serious due to hospitalization. No relevant medical history was reported.</w:t>
      </w:r>
    </w:p>
    <w:p>
      <w:pPr>
        <w:pStyle w:val="Heading1"/>
      </w:pPr>
      <w:r>
        <w:t>10. Case Classification</w:t>
      </w:r>
    </w:p>
    <w:tbl>
      <w:tblPr>
        <w:tblStyle w:val="TableGrid"/>
        <w:tblW w:type="auto" w:w="0"/>
        <w:tblLook w:firstColumn="1" w:firstRow="1" w:lastColumn="0" w:lastRow="0" w:noHBand="0" w:noVBand="1" w:val="04A0"/>
      </w:tblPr>
      <w:tblGrid>
        <w:gridCol w:w="5112"/>
        <w:gridCol w:w="5112"/>
      </w:tblGrid>
      <w:tr>
        <w:tc>
          <w:tcPr>
            <w:tcW w:type="dxa" w:w="5112"/>
            <w:vAlign w:val="center"/>
            <w:shd w:fill="EAF2F8"/>
          </w:tcPr>
          <w:p>
            <w:r/>
            <w:r>
              <w:rPr>
                <w:rFonts w:ascii="Arial" w:hAnsi="Arial"/>
                <w:b/>
                <w:sz w:val="18"/>
              </w:rPr>
              <w:t>Classification</w:t>
            </w:r>
          </w:p>
        </w:tc>
        <w:tc>
          <w:tcPr>
            <w:tcW w:type="dxa" w:w="5112"/>
            <w:vAlign w:val="center"/>
            <w:shd w:fill="EAF2F8"/>
          </w:tcPr>
          <w:p>
            <w:r/>
            <w:r>
              <w:rPr>
                <w:rFonts w:ascii="Arial" w:hAnsi="Arial"/>
                <w:b/>
                <w:sz w:val="18"/>
              </w:rPr>
              <w:t>Result</w:t>
            </w:r>
          </w:p>
        </w:tc>
      </w:tr>
      <w:tr>
        <w:tc>
          <w:tcPr>
            <w:tcW w:type="dxa" w:w="5112"/>
            <w:vAlign w:val="center"/>
          </w:tcPr>
          <w:p>
            <w:r/>
            <w:r>
              <w:rPr>
                <w:rFonts w:ascii="Arial" w:hAnsi="Arial"/>
                <w:b w:val="0"/>
                <w:sz w:val="18"/>
              </w:rPr>
              <w:t>ICSR validity</w:t>
            </w:r>
          </w:p>
        </w:tc>
        <w:tc>
          <w:tcPr>
            <w:tcW w:type="dxa" w:w="5112"/>
            <w:vAlign w:val="center"/>
          </w:tcPr>
          <w:p>
            <w:r/>
            <w:r>
              <w:rPr>
                <w:rFonts w:ascii="Arial" w:hAnsi="Arial"/>
                <w:b w:val="0"/>
                <w:sz w:val="18"/>
              </w:rPr>
              <w:t>Valid</w:t>
            </w:r>
          </w:p>
        </w:tc>
      </w:tr>
      <w:tr>
        <w:tc>
          <w:tcPr>
            <w:tcW w:type="dxa" w:w="5112"/>
            <w:vAlign w:val="center"/>
          </w:tcPr>
          <w:p>
            <w:r/>
            <w:r>
              <w:rPr>
                <w:rFonts w:ascii="Arial" w:hAnsi="Arial"/>
                <w:b w:val="0"/>
                <w:sz w:val="18"/>
              </w:rPr>
              <w:t>Report type</w:t>
            </w:r>
          </w:p>
        </w:tc>
        <w:tc>
          <w:tcPr>
            <w:tcW w:type="dxa" w:w="5112"/>
            <w:vAlign w:val="center"/>
          </w:tcPr>
          <w:p>
            <w:r/>
            <w:r>
              <w:rPr>
                <w:rFonts w:ascii="Arial" w:hAnsi="Arial"/>
                <w:b w:val="0"/>
                <w:sz w:val="18"/>
              </w:rPr>
              <w:t>Spontaneous / unsolicited</w:t>
            </w:r>
          </w:p>
        </w:tc>
      </w:tr>
      <w:tr>
        <w:tc>
          <w:tcPr>
            <w:tcW w:type="dxa" w:w="5112"/>
            <w:vAlign w:val="center"/>
          </w:tcPr>
          <w:p>
            <w:r/>
            <w:r>
              <w:rPr>
                <w:rFonts w:ascii="Arial" w:hAnsi="Arial"/>
                <w:b w:val="0"/>
                <w:sz w:val="18"/>
              </w:rPr>
              <w:t>Suspect drug</w:t>
            </w:r>
          </w:p>
        </w:tc>
        <w:tc>
          <w:tcPr>
            <w:tcW w:type="dxa" w:w="5112"/>
            <w:vAlign w:val="center"/>
          </w:tcPr>
          <w:p>
            <w:r/>
            <w:r>
              <w:rPr>
                <w:rFonts w:ascii="Arial" w:hAnsi="Arial"/>
                <w:b w:val="0"/>
                <w:sz w:val="18"/>
              </w:rPr>
              <w:t>Ibuprofen</w:t>
            </w:r>
          </w:p>
        </w:tc>
      </w:tr>
      <w:tr>
        <w:tc>
          <w:tcPr>
            <w:tcW w:type="dxa" w:w="5112"/>
            <w:vAlign w:val="center"/>
          </w:tcPr>
          <w:p>
            <w:r/>
            <w:r>
              <w:rPr>
                <w:rFonts w:ascii="Arial" w:hAnsi="Arial"/>
                <w:b w:val="0"/>
                <w:sz w:val="18"/>
              </w:rPr>
              <w:t>Seriousness</w:t>
            </w:r>
          </w:p>
        </w:tc>
        <w:tc>
          <w:tcPr>
            <w:tcW w:type="dxa" w:w="5112"/>
            <w:vAlign w:val="center"/>
          </w:tcPr>
          <w:p>
            <w:r/>
            <w:r>
              <w:rPr>
                <w:rFonts w:ascii="Arial" w:hAnsi="Arial"/>
                <w:b w:val="0"/>
                <w:sz w:val="18"/>
              </w:rPr>
              <w:t>Serious – hospitalization</w:t>
            </w:r>
          </w:p>
        </w:tc>
      </w:tr>
      <w:tr>
        <w:tc>
          <w:tcPr>
            <w:tcW w:type="dxa" w:w="5112"/>
            <w:vAlign w:val="center"/>
          </w:tcPr>
          <w:p>
            <w:r/>
            <w:r>
              <w:rPr>
                <w:rFonts w:ascii="Arial" w:hAnsi="Arial"/>
                <w:b w:val="0"/>
                <w:sz w:val="18"/>
              </w:rPr>
              <w:t>Expectedness</w:t>
            </w:r>
          </w:p>
        </w:tc>
        <w:tc>
          <w:tcPr>
            <w:tcW w:type="dxa" w:w="5112"/>
            <w:vAlign w:val="center"/>
          </w:tcPr>
          <w:p>
            <w:r/>
            <w:r>
              <w:rPr>
                <w:rFonts w:ascii="Arial" w:hAnsi="Arial"/>
                <w:b w:val="0"/>
                <w:sz w:val="18"/>
              </w:rPr>
              <w:t>Not assessable from supplied information; reference safety information required</w:t>
            </w:r>
          </w:p>
        </w:tc>
      </w:tr>
      <w:tr>
        <w:tc>
          <w:tcPr>
            <w:tcW w:type="dxa" w:w="5112"/>
            <w:vAlign w:val="center"/>
          </w:tcPr>
          <w:p>
            <w:r/>
            <w:r>
              <w:rPr>
                <w:rFonts w:ascii="Arial" w:hAnsi="Arial"/>
                <w:b w:val="0"/>
                <w:sz w:val="18"/>
              </w:rPr>
              <w:t>Causality</w:t>
            </w:r>
          </w:p>
        </w:tc>
        <w:tc>
          <w:tcPr>
            <w:tcW w:type="dxa" w:w="5112"/>
            <w:vAlign w:val="center"/>
          </w:tcPr>
          <w:p>
            <w:r/>
            <w:r>
              <w:rPr>
                <w:rFonts w:ascii="Arial" w:hAnsi="Arial"/>
                <w:b w:val="0"/>
                <w:sz w:val="18"/>
              </w:rPr>
              <w:t>Possible drug-related relationship; not definitive</w:t>
            </w:r>
          </w:p>
        </w:tc>
      </w:tr>
      <w:tr>
        <w:tc>
          <w:tcPr>
            <w:tcW w:type="dxa" w:w="5112"/>
            <w:vAlign w:val="center"/>
          </w:tcPr>
          <w:p>
            <w:r/>
            <w:r>
              <w:rPr>
                <w:rFonts w:ascii="Arial" w:hAnsi="Arial"/>
                <w:b w:val="0"/>
                <w:sz w:val="18"/>
              </w:rPr>
              <w:t>Outcome</w:t>
            </w:r>
          </w:p>
        </w:tc>
        <w:tc>
          <w:tcPr>
            <w:tcW w:type="dxa" w:w="5112"/>
            <w:vAlign w:val="center"/>
          </w:tcPr>
          <w:p>
            <w:r/>
            <w:r>
              <w:rPr>
                <w:rFonts w:ascii="Arial" w:hAnsi="Arial"/>
                <w:b w:val="0"/>
                <w:sz w:val="18"/>
              </w:rPr>
              <w:t>Not reported</w:t>
            </w:r>
          </w:p>
        </w:tc>
      </w:tr>
      <w:tr>
        <w:tc>
          <w:tcPr>
            <w:tcW w:type="dxa" w:w="5112"/>
            <w:vAlign w:val="center"/>
          </w:tcPr>
          <w:p>
            <w:r/>
            <w:r>
              <w:rPr>
                <w:rFonts w:ascii="Arial" w:hAnsi="Arial"/>
                <w:b w:val="0"/>
                <w:sz w:val="18"/>
              </w:rPr>
              <w:t>Follow-up needed</w:t>
            </w:r>
          </w:p>
        </w:tc>
        <w:tc>
          <w:tcPr>
            <w:tcW w:type="dxa" w:w="5112"/>
            <w:vAlign w:val="center"/>
          </w:tcPr>
          <w:p>
            <w:r/>
            <w:r>
              <w:rPr>
                <w:rFonts w:ascii="Arial" w:hAnsi="Arial"/>
                <w:b w:val="0"/>
                <w:sz w:val="18"/>
              </w:rPr>
              <w:t>Yes – obtain outcome, diagnosis/investigations, treatment, reporter details, and relevant history where available</w:t>
            </w:r>
          </w:p>
        </w:tc>
      </w:tr>
    </w:tbl>
    <w:p>
      <w:pPr>
        <w:pStyle w:val="Heading1"/>
      </w:pPr>
      <w:r>
        <w:t>11. Follow-up Information to Request</w:t>
      </w:r>
    </w:p>
    <w:p>
      <w:pPr>
        <w:pStyle w:val="ListBullet"/>
      </w:pPr>
      <w:r>
        <w:t>Final clinical diagnosis, if any.</w:t>
      </w:r>
    </w:p>
    <w:p>
      <w:pPr>
        <w:pStyle w:val="ListBullet"/>
      </w:pPr>
      <w:r>
        <w:t>Outcome of melena and dizziness.</w:t>
      </w:r>
    </w:p>
    <w:p>
      <w:pPr>
        <w:pStyle w:val="ListBullet"/>
      </w:pPr>
      <w:r>
        <w:t>Additional laboratory results and relevant investigations.</w:t>
      </w:r>
    </w:p>
    <w:p>
      <w:pPr>
        <w:pStyle w:val="ListBullet"/>
      </w:pPr>
      <w:r>
        <w:t>Exact dates of treatment discontinuation and clinical improvement, if any.</w:t>
      </w:r>
    </w:p>
    <w:p>
      <w:pPr>
        <w:pStyle w:val="ListBullet"/>
      </w:pPr>
      <w:r>
        <w:t>Relevant medical history and risk factors.</w:t>
      </w:r>
    </w:p>
    <w:p>
      <w:pPr>
        <w:pStyle w:val="ListBullet"/>
      </w:pPr>
      <w:r>
        <w:t>Details of aspirin exposure and indication.</w:t>
      </w:r>
    </w:p>
    <w:p>
      <w:pPr>
        <w:pStyle w:val="ListBullet"/>
      </w:pPr>
      <w:r>
        <w:t>Reporter contact/details sufficient for follow-up.</w:t>
      </w:r>
    </w:p>
    <w:p>
      <w:pPr>
        <w:pStyle w:val="ListBullet"/>
      </w:pPr>
      <w:r>
        <w:t>Any additional suspect or concomitant medicines.</w:t>
      </w:r>
    </w:p>
    <w:p>
      <w:pPr>
        <w:pStyle w:val="Heading1"/>
      </w:pPr>
      <w:r>
        <w:t>12. Quality Check Points</w:t>
      </w:r>
    </w:p>
    <w:p>
      <w:pPr>
        <w:pStyle w:val="ListBullet"/>
      </w:pPr>
      <w:r>
        <w:t>Confirm the four minimum ICSR validity criteria.</w:t>
      </w:r>
    </w:p>
    <w:p>
      <w:pPr>
        <w:pStyle w:val="ListBullet"/>
      </w:pPr>
      <w:r>
        <w:t>Check for duplicate reports using available patient, event, drug, and reporter information.</w:t>
      </w:r>
    </w:p>
    <w:p>
      <w:pPr>
        <w:pStyle w:val="ListBullet"/>
      </w:pPr>
      <w:r>
        <w:t>Verify dates, dose, route, frequency, indication, and treatment changes.</w:t>
      </w:r>
    </w:p>
    <w:p>
      <w:pPr>
        <w:pStyle w:val="ListBullet"/>
      </w:pPr>
      <w:r>
        <w:t>Code reported events using the current MedDRA version used by the organization.</w:t>
      </w:r>
    </w:p>
    <w:p>
      <w:pPr>
        <w:pStyle w:val="ListBullet"/>
      </w:pPr>
      <w:r>
        <w:t>Assess seriousness separately from severity/intensity.</w:t>
      </w:r>
    </w:p>
    <w:p>
      <w:pPr>
        <w:pStyle w:val="ListBullet"/>
      </w:pPr>
      <w:r>
        <w:t>Assess expectedness against the correct reference safety information.</w:t>
      </w:r>
    </w:p>
    <w:p>
      <w:pPr>
        <w:pStyle w:val="ListBullet"/>
      </w:pPr>
      <w:r>
        <w:t>Ensure the narrative is chronological, concise, medically coherent, and contains no unsupported assumptions.</w:t>
      </w:r>
    </w:p>
    <w:p>
      <w:pPr>
        <w:pStyle w:val="ListBullet"/>
      </w:pPr>
      <w:r>
        <w:t>Document missing information and initiate follow-up where appropriate.</w:t>
      </w:r>
    </w:p>
    <w:p>
      <w:pPr>
        <w:pStyle w:val="Heading1"/>
      </w:pPr>
      <w:r>
        <w:t>13. Key Pharmacovigilance Learning Points</w:t>
      </w:r>
    </w:p>
    <w:p>
      <w:pPr>
        <w:pStyle w:val="ListBullet"/>
      </w:pPr>
      <w:r>
        <w:t>An ICSR requires an identifiable patient, identifiable reporter, suspected medicinal product, and adverse event/reaction.</w:t>
      </w:r>
    </w:p>
    <w:p>
      <w:pPr>
        <w:pStyle w:val="ListBullet"/>
      </w:pPr>
      <w:r>
        <w:t>Seriousness is based on regulatory seriousness criteria; it is different from severity or intensity.</w:t>
      </w:r>
    </w:p>
    <w:p>
      <w:pPr>
        <w:pStyle w:val="ListBullet"/>
      </w:pPr>
      <w:r>
        <w:t>Hospitalization is a seriousness criterion.</w:t>
      </w:r>
    </w:p>
    <w:p>
      <w:pPr>
        <w:pStyle w:val="ListBullet"/>
      </w:pPr>
      <w:r>
        <w:t>Causality assessment considers factors such as temporal relationship, dechallenge, rechallenge, alternative causes, and clinical evidence.</w:t>
      </w:r>
    </w:p>
    <w:p>
      <w:pPr>
        <w:pStyle w:val="ListBullet"/>
      </w:pPr>
      <w:r>
        <w:t>Expectedness requires comparison with the applicable reference safety information.</w:t>
      </w:r>
    </w:p>
    <w:p>
      <w:pPr>
        <w:pStyle w:val="ListBullet"/>
      </w:pPr>
      <w:r>
        <w:t>Do not create a diagnosis, outcome, or causality conclusion that is not supported by the case.</w:t>
      </w:r>
    </w:p>
    <w:p>
      <w:pPr>
        <w:pStyle w:val="ListBullet"/>
      </w:pPr>
      <w:r>
        <w:t>Follow-up is important when clinically relevant information is missing.</w:t>
      </w:r>
    </w:p>
    <w:p>
      <w:pPr>
        <w:pStyle w:val="Heading1"/>
      </w:pPr>
      <w:r>
        <w:t>14. Conclusion</w:t>
      </w:r>
    </w:p>
    <w:p>
      <w:r>
        <w:t>The simulated case represents a valid and serious ICSR because all four minimum criteria are present and hospitalization occurred. Ibuprofen is the suspect medicinal product. The temporal relationship supports a possible association, but the absence of outcome after discontinuation and the presence of concomitant aspirin limit the strength of the causality assessment. Expectedness requires the applicable reference safety information and therefore is not assigned from the case alone. The case demonstrates the end-to-end assessment expected in an entry-level Drug Safety Associate exercise.</w:t>
      </w:r>
    </w:p>
    <w:p>
      <w:pPr>
        <w:pStyle w:val="Heading1"/>
      </w:pPr>
      <w:r>
        <w:t>15. Disclaimer</w:t>
      </w:r>
    </w:p>
    <w:p>
      <w:r>
        <w:t>This document is a simulated educational case prepared for Pharmacovigilance Internship Task 5. It is not a real patient safety report and must not be used for regulatory submission or clinical decision-making. MedDRA coding and reporting requirements should be verified against the current licensed terminology, product information, company SOPs, and applicable regional regulations before use in a real pharmacovigilance system.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Pharmacovigilance Internship – Task 5 | Simulated ICSR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