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8706"/>
      </w:tblGrid>
      <w:tr>
        <w:tc>
          <w:tcPr>
            <w:tcW w:type="dxa" w:w="1200"/>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590550"/>
                          </a:xfrm>
                          <a:prstGeom prst="rect">
                            <a:avLst/>
                          </a:prstGeom>
                        </pic:spPr>
                      </pic:pic>
                    </a:graphicData>
                  </a:graphic>
                </wp:inline>
              </w:drawing>
            </w:r>
          </w:p>
        </w:tc>
        <w:tc>
          <w:tcPr>
            <w:tcW w:type="dxa" w:w="8706"/>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r>
              <w:rPr>
                <w:rFonts w:ascii="Georgia" w:cs="Georgia" w:eastAsia="Georgia" w:hAnsi="Georgia"/>
                <w:b/>
                <w:bCs/>
                <w:color w:val="8C6A00"/>
                <w:sz w:val="30"/>
                <w:szCs w:val="30"/>
              </w:rPr>
              <w:t xml:space="preserve">VINAYAK HORA</w:t>
            </w:r>
          </w:p>
          <w:p>
            <w:pPr>
              <w:spacing w:before="20"/>
            </w:pPr>
            <w:r>
              <w:rPr>
                <w:rFonts w:ascii="Calibri" w:cs="Calibri" w:eastAsia="Calibri" w:hAnsi="Calibri"/>
                <w:i/>
                <w:iCs/>
                <w:color w:val="7A6540"/>
                <w:sz w:val="18"/>
                <w:szCs w:val="18"/>
              </w:rPr>
              <w:t xml:space="preserve">Vedic Astrology  ·  Classical Jyotish Consultations</w:t>
            </w:r>
          </w:p>
          <w:p>
            <w:pPr>
              <w:spacing w:before="40"/>
            </w:pPr>
            <w:r>
              <w:rPr>
                <w:rFonts w:ascii="Calibri" w:cs="Calibri" w:eastAsia="Calibri" w:hAnsi="Calibri"/>
                <w:color w:val="7A6540"/>
                <w:sz w:val="17"/>
                <w:szCs w:val="17"/>
              </w:rPr>
              <w:t xml:space="preserve">www.vinayakhora.in   ·   vinayakhora@gmail.com</w:t>
            </w:r>
          </w:p>
        </w:tc>
      </w:tr>
    </w:tbl>
    <w:p>
      <w:pPr>
        <w:pBdr>
          <w:bottom w:val="single" w:color="8C6A00" w:sz="10" w:space="1"/>
        </w:pBdr>
        <w:spacing w:after="200"/>
      </w:pPr>
    </w:p>
    <w:p>
      <w:pPr>
        <w:spacing w:after="60" w:before="360"/>
        <w:jc w:val="center"/>
      </w:pPr>
      <w:r>
        <w:rPr>
          <w:rFonts w:ascii="Georgia" w:cs="Georgia" w:eastAsia="Georgia" w:hAnsi="Georgia"/>
          <w:b/>
          <w:bCs/>
          <w:color w:val="3A2E18"/>
          <w:sz w:val="34"/>
          <w:szCs w:val="34"/>
        </w:rPr>
        <w:t xml:space="preserve">MANGAL DOSHA (KUJA DOSHA) ANALYSIS REPORT</w:t>
      </w:r>
    </w:p>
    <w:p>
      <w:pPr>
        <w:spacing w:after="300"/>
        <w:jc w:val="center"/>
      </w:pPr>
      <w:r>
        <w:rPr>
          <w:rFonts w:ascii="Calibri" w:cs="Calibri" w:eastAsia="Calibri" w:hAnsi="Calibri"/>
          <w:i/>
          <w:iCs/>
          <w:color w:val="7A6540"/>
          <w:sz w:val="21"/>
          <w:szCs w:val="21"/>
        </w:rPr>
        <w:t xml:space="preserve">Personalized Findings, Classical Cancellation Check &amp; Remedial Guidance</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Client &amp; Birth Details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953"/>
        <w:gridCol w:w="2000"/>
        <w:gridCol w:w="2953"/>
      </w:tblGrid>
      <w:tr>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Client Name</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[Full Name]</w:t>
            </w:r>
          </w:p>
        </w:tc>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Gender</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[Male / Female]</w:t>
            </w:r>
          </w:p>
        </w:tc>
      </w:tr>
      <w:tr>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Date of Birth</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[DD Month YYYY]</w:t>
            </w:r>
          </w:p>
        </w:tc>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Time of Birth</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[HH:MM AM/PM]</w:t>
            </w:r>
          </w:p>
        </w:tc>
      </w:tr>
      <w:tr>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Place of Birth</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[City, State, Country]</w:t>
            </w:r>
          </w:p>
        </w:tc>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Ayanamsha Used</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[Lahiri]</w:t>
            </w:r>
          </w:p>
        </w:tc>
      </w:tr>
      <w:tr>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Report Prepared On</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[DD Month YYYY]</w:t>
            </w:r>
          </w:p>
        </w:tc>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Prepared By</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Ram Mohan Kapil, Vinayak Hora</w:t>
            </w:r>
          </w:p>
        </w:tc>
      </w:tr>
    </w:tbl>
    <w:p>
      <w:pPr>
        <w:pStyle w:val="Heading1"/>
        <w:pBdr>
          <w:bottom w:val="single" w:color="8C6A00" w:sz="8" w:space="4"/>
        </w:pBdr>
        <w:spacing w:after="160" w:before="420"/>
      </w:pPr>
      <w:r>
        <w:rPr>
          <w:rFonts w:ascii="Georgia" w:cs="Georgia" w:eastAsia="Georgia" w:hAnsi="Georgia"/>
          <w:b/>
          <w:bCs/>
          <w:caps/>
          <w:color w:val="8C6A00"/>
          <w:sz w:val="26"/>
          <w:szCs w:val="26"/>
        </w:rPr>
        <w:t xml:space="preserve">1. Executive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7"/>
      </w:tblGrid>
      <w:tr>
        <w:trPr>
          <w:tblHeader/>
        </w:trPr>
        <w:tc>
          <w:tcPr>
            <w:tcW w:type="dxa" w:w="5448"/>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Question</w:t>
            </w:r>
          </w:p>
        </w:tc>
        <w:tc>
          <w:tcPr>
            <w:tcW w:type="dxa" w:w="4457"/>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Finding</w:t>
            </w:r>
          </w:p>
        </w:tc>
      </w:tr>
      <w:tr>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Is the native Manglik (Mangal Dosha present)?</w:t>
            </w:r>
          </w:p>
        </w:tc>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 Yes  /  No  /  Partially — mild placement only ]</w:t>
            </w:r>
          </w:p>
        </w:tc>
      </w:tr>
      <w:tr>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Overall severity (per classical grading)</w:t>
            </w:r>
          </w:p>
        </w:tc>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Severe  /  Moderate  /  Mild  /  Negligible ]</w:t>
            </w:r>
          </w:p>
        </w:tc>
      </w:tr>
      <w:tr>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Is a classical cancellation (Bhanga) applicable?</w:t>
            </w:r>
          </w:p>
        </w:tc>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 Yes — fully  /  Yes — partially  /  No ]</w:t>
            </w:r>
          </w:p>
        </w:tc>
      </w:tr>
      <w:tr>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Recommended course of action</w:t>
            </w:r>
          </w:p>
        </w:tc>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No action needed  /  Standard remedies suggested  /  Detailed remedies + timing consultation recommended ]</w:t>
            </w:r>
          </w:p>
        </w:tc>
      </w:tr>
    </w:tbl>
    <w:p>
      <w:pPr>
        <w:spacing w:before="200"/>
      </w:pPr>
    </w:p>
    <w:p>
      <w:pPr>
        <w:spacing w:after="100" w:before="240"/>
      </w:pPr>
      <w:r>
        <w:rPr>
          <w:rFonts w:ascii="Georgia" w:cs="Georgia" w:eastAsia="Georgia" w:hAnsi="Georgia"/>
          <w:b/>
          <w:bCs/>
          <w:color w:val="3A2E18"/>
          <w:sz w:val="22"/>
          <w:szCs w:val="22"/>
        </w:rPr>
        <w:t xml:space="preserve">Summary in Plain Language</w:t>
      </w:r>
    </w:p>
    <w:p>
      <w:pPr>
        <w:spacing w:after="140" w:line="300"/>
      </w:pPr>
      <w:r>
        <w:rPr>
          <w:rFonts w:ascii="Calibri" w:cs="Calibri" w:eastAsia="Calibri" w:hAnsi="Calibri"/>
          <w:i/>
          <w:iCs/>
          <w:color w:val="3A2E18"/>
          <w:sz w:val="21"/>
          <w:szCs w:val="21"/>
        </w:rPr>
        <w:t xml:space="preserve">[Two to four sentences, written directly to the client, summarizing the finding in plain language — what was checked, what was found, and what it practically means for them. Avoid alarming language; state severity and next steps clearly.]</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2. Birth Chart Snapshot</w:t>
      </w:r>
    </w:p>
    <w:p>
      <w:pPr>
        <w:spacing w:after="140" w:line="300"/>
      </w:pPr>
      <w:r>
        <w:rPr>
          <w:rFonts w:ascii="Calibri" w:cs="Calibri" w:eastAsia="Calibri" w:hAnsi="Calibri"/>
          <w:i w:val="false"/>
          <w:iCs w:val="false"/>
          <w:color w:val="3A2E18"/>
          <w:sz w:val="21"/>
          <w:szCs w:val="21"/>
        </w:rPr>
        <w:t xml:space="preserve">Key placements referenced throughout this report, for quick verification against the attached birth chart (Rashi and Navamsha).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5448"/>
      </w:tblGrid>
      <w:tr>
        <w:trPr>
          <w:tblHeader/>
        </w:trPr>
        <w:tc>
          <w:tcPr>
            <w:tcW w:type="dxa" w:w="4457"/>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Placement</w:t>
            </w:r>
          </w:p>
        </w:tc>
        <w:tc>
          <w:tcPr>
            <w:tcW w:type="dxa" w:w="5448"/>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Value</w:t>
            </w:r>
          </w:p>
        </w:tc>
      </w:tr>
      <w:tr>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Ascendant (Lagna) Sign</w:t>
            </w:r>
          </w:p>
        </w:tc>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[Sign]</w:t>
            </w:r>
          </w:p>
        </w:tc>
      </w:tr>
      <w:tr>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Moon Sign (Rashi) / Nakshatra</w:t>
            </w:r>
          </w:p>
        </w:tc>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[Sign] / [Nakshatra – Pada]</w:t>
            </w:r>
          </w:p>
        </w:tc>
      </w:tr>
      <w:tr>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Venus Sign</w:t>
            </w:r>
          </w:p>
        </w:tc>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[Sign]</w:t>
            </w:r>
          </w:p>
        </w:tc>
      </w:tr>
      <w:tr>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Sign / Degree</w:t>
            </w:r>
          </w:p>
        </w:tc>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[Sign] [°′″]</w:t>
            </w:r>
          </w:p>
        </w:tc>
      </w:tr>
      <w:tr>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Mars Nakshatra</w:t>
            </w:r>
          </w:p>
        </w:tc>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[Nakshatra – Pada]</w:t>
            </w:r>
          </w:p>
        </w:tc>
      </w:tr>
      <w:tr>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Retrograde?</w:t>
            </w:r>
          </w:p>
        </w:tc>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 / No]</w:t>
            </w:r>
          </w:p>
        </w:tc>
      </w:tr>
      <w:tr>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Mars Combust?</w:t>
            </w:r>
          </w:p>
        </w:tc>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[Yes / No — within ~17° of Sun]</w:t>
            </w:r>
          </w:p>
        </w:tc>
      </w:tr>
      <w:tr>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House from Lagna</w:t>
            </w:r>
          </w:p>
        </w:tc>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[House number]</w:t>
            </w:r>
          </w:p>
        </w:tc>
      </w:tr>
      <w:tr>
        <w:tc>
          <w:tcPr>
            <w:tcW w:type="dxa" w:w="4457"/>
            <w:tcMar>
              <w:top w:type="dxa" w:w="90"/>
              <w:left w:type="dxa" w:w="130"/>
              <w:bottom w:type="dxa" w:w="90"/>
              <w:right w:type="dxa" w:w="130"/>
            </w:tcMar>
            <w:vAlign w:val="center"/>
          </w:tcPr>
          <w:p>
            <w:r>
              <w:rPr>
                <w:rFonts w:ascii="Calibri" w:cs="Calibri" w:eastAsia="Calibri" w:hAnsi="Calibri"/>
                <w:color w:val="3A2E18"/>
                <w:sz w:val="19"/>
                <w:szCs w:val="19"/>
              </w:rPr>
              <w:t xml:space="preserve">Mars House from Moon</w:t>
            </w:r>
          </w:p>
        </w:tc>
        <w:tc>
          <w:tcPr>
            <w:tcW w:type="dxa" w:w="5448"/>
            <w:tcMar>
              <w:top w:type="dxa" w:w="90"/>
              <w:left w:type="dxa" w:w="130"/>
              <w:bottom w:type="dxa" w:w="90"/>
              <w:right w:type="dxa" w:w="130"/>
            </w:tcMar>
            <w:vAlign w:val="center"/>
          </w:tcPr>
          <w:p>
            <w:r>
              <w:rPr>
                <w:rFonts w:ascii="Calibri" w:cs="Calibri" w:eastAsia="Calibri" w:hAnsi="Calibri"/>
                <w:color w:val="3A2E18"/>
                <w:sz w:val="19"/>
                <w:szCs w:val="19"/>
              </w:rPr>
              <w:t xml:space="preserve">[House number]</w:t>
            </w:r>
          </w:p>
        </w:tc>
      </w:tr>
      <w:tr>
        <w:tc>
          <w:tcPr>
            <w:tcW w:type="dxa" w:w="4457"/>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House from Venus</w:t>
            </w:r>
          </w:p>
        </w:tc>
        <w:tc>
          <w:tcPr>
            <w:tcW w:type="dxa" w:w="5448"/>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[House number]</w:t>
            </w:r>
          </w:p>
        </w:tc>
      </w:tr>
    </w:tbl>
    <w:p>
      <w:pPr>
        <w:pStyle w:val="Heading1"/>
        <w:pBdr>
          <w:bottom w:val="single" w:color="8C6A00" w:sz="8" w:space="4"/>
        </w:pBdr>
        <w:spacing w:after="160" w:before="420"/>
      </w:pPr>
      <w:r>
        <w:rPr>
          <w:rFonts w:ascii="Georgia" w:cs="Georgia" w:eastAsia="Georgia" w:hAnsi="Georgia"/>
          <w:b/>
          <w:bCs/>
          <w:caps/>
          <w:color w:val="8C6A00"/>
          <w:sz w:val="26"/>
          <w:szCs w:val="26"/>
        </w:rPr>
        <w:t xml:space="preserve">3. Mangal Dosha Determination</w:t>
      </w:r>
    </w:p>
    <w:p>
      <w:pPr>
        <w:spacing w:after="140" w:line="300"/>
      </w:pPr>
      <w:r>
        <w:rPr>
          <w:rFonts w:ascii="Calibri" w:cs="Calibri" w:eastAsia="Calibri" w:hAnsi="Calibri"/>
          <w:i w:val="false"/>
          <w:iCs w:val="false"/>
          <w:color w:val="3A2E18"/>
          <w:sz w:val="21"/>
          <w:szCs w:val="21"/>
        </w:rPr>
        <w:t xml:space="preserve">Classical practice checks Mars against six houses — the 1st, 2nd, 4th, 7th, 8th and 12th — reckoned separately from three reference points: the Ascendant (Lagna), the Moon, and Venus. The affliction is traditionally read as weak from the Lagna, stronger from the Moon, and most significant from Venus (B.V. Raman, Electional Astrology).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1386"/>
        <w:gridCol w:w="1584"/>
        <w:gridCol w:w="1981"/>
        <w:gridCol w:w="3169"/>
      </w:tblGrid>
      <w:tr>
        <w:trPr>
          <w:tblHeader/>
        </w:trPr>
        <w:tc>
          <w:tcPr>
            <w:tcW w:type="dxa" w:w="1783"/>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Reference Point</w:t>
            </w:r>
          </w:p>
        </w:tc>
        <w:tc>
          <w:tcPr>
            <w:tcW w:type="dxa" w:w="1386"/>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Mars House</w:t>
            </w:r>
          </w:p>
        </w:tc>
        <w:tc>
          <w:tcPr>
            <w:tcW w:type="dxa" w:w="1584"/>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Dosha House?</w:t>
            </w:r>
          </w:p>
        </w:tc>
        <w:tc>
          <w:tcPr>
            <w:tcW w:type="dxa" w:w="1981"/>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Severity</w:t>
            </w:r>
          </w:p>
        </w:tc>
        <w:tc>
          <w:tcPr>
            <w:tcW w:type="dxa" w:w="3169"/>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Notes</w:t>
            </w:r>
          </w:p>
        </w:tc>
      </w:tr>
      <w:tr>
        <w:tc>
          <w:tcPr>
            <w:tcW w:type="dxa" w:w="1783"/>
            <w:tcMar>
              <w:top w:type="dxa" w:w="90"/>
              <w:left w:type="dxa" w:w="130"/>
              <w:bottom w:type="dxa" w:w="90"/>
              <w:right w:type="dxa" w:w="130"/>
            </w:tcMar>
            <w:vAlign w:val="center"/>
          </w:tcPr>
          <w:p>
            <w:r>
              <w:rPr>
                <w:rFonts w:ascii="Calibri" w:cs="Calibri" w:eastAsia="Calibri" w:hAnsi="Calibri"/>
                <w:color w:val="3A2E18"/>
                <w:sz w:val="19"/>
                <w:szCs w:val="19"/>
              </w:rPr>
              <w:t xml:space="preserve">From Lagna</w:t>
            </w:r>
          </w:p>
        </w:tc>
        <w:tc>
          <w:tcPr>
            <w:tcW w:type="dxa" w:w="1386"/>
            <w:tcMar>
              <w:top w:type="dxa" w:w="90"/>
              <w:left w:type="dxa" w:w="130"/>
              <w:bottom w:type="dxa" w:w="90"/>
              <w:right w:type="dxa" w:w="130"/>
            </w:tcMar>
            <w:vAlign w:val="center"/>
          </w:tcPr>
          <w:p>
            <w:r>
              <w:rPr>
                <w:rFonts w:ascii="Calibri" w:cs="Calibri" w:eastAsia="Calibri" w:hAnsi="Calibri"/>
                <w:color w:val="3A2E18"/>
                <w:sz w:val="19"/>
                <w:szCs w:val="19"/>
              </w:rPr>
              <w:t xml:space="preserve">[house]</w:t>
            </w:r>
          </w:p>
        </w:tc>
        <w:tc>
          <w:tcPr>
            <w:tcW w:type="dxa" w:w="1584"/>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1981"/>
            <w:tcMar>
              <w:top w:type="dxa" w:w="90"/>
              <w:left w:type="dxa" w:w="130"/>
              <w:bottom w:type="dxa" w:w="90"/>
              <w:right w:type="dxa" w:w="130"/>
            </w:tcMar>
            <w:vAlign w:val="center"/>
          </w:tcPr>
          <w:p>
            <w:r>
              <w:rPr>
                <w:rFonts w:ascii="Calibri" w:cs="Calibri" w:eastAsia="Calibri" w:hAnsi="Calibri"/>
                <w:color w:val="3A2E18"/>
                <w:sz w:val="19"/>
                <w:szCs w:val="19"/>
              </w:rPr>
              <w:t xml:space="preserve">[Severe/Moderate/Mild/N.A.]</w:t>
            </w:r>
          </w:p>
        </w:tc>
        <w:tc>
          <w:tcPr>
            <w:tcW w:type="dxa" w:w="3169"/>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1783"/>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From Moon</w:t>
            </w:r>
          </w:p>
        </w:tc>
        <w:tc>
          <w:tcPr>
            <w:tcW w:type="dxa" w:w="1386"/>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[house]</w:t>
            </w:r>
          </w:p>
        </w:tc>
        <w:tc>
          <w:tcPr>
            <w:tcW w:type="dxa" w:w="1584"/>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1981"/>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[Severe/Moderate/Mild/N.A.]</w:t>
            </w:r>
          </w:p>
        </w:tc>
        <w:tc>
          <w:tcPr>
            <w:tcW w:type="dxa" w:w="3169"/>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1783"/>
            <w:tcMar>
              <w:top w:type="dxa" w:w="90"/>
              <w:left w:type="dxa" w:w="130"/>
              <w:bottom w:type="dxa" w:w="90"/>
              <w:right w:type="dxa" w:w="130"/>
            </w:tcMar>
            <w:vAlign w:val="center"/>
          </w:tcPr>
          <w:p>
            <w:r>
              <w:rPr>
                <w:rFonts w:ascii="Calibri" w:cs="Calibri" w:eastAsia="Calibri" w:hAnsi="Calibri"/>
                <w:color w:val="3A2E18"/>
                <w:sz w:val="19"/>
                <w:szCs w:val="19"/>
              </w:rPr>
              <w:t xml:space="preserve">From Venus</w:t>
            </w:r>
          </w:p>
        </w:tc>
        <w:tc>
          <w:tcPr>
            <w:tcW w:type="dxa" w:w="1386"/>
            <w:tcMar>
              <w:top w:type="dxa" w:w="90"/>
              <w:left w:type="dxa" w:w="130"/>
              <w:bottom w:type="dxa" w:w="90"/>
              <w:right w:type="dxa" w:w="130"/>
            </w:tcMar>
            <w:vAlign w:val="center"/>
          </w:tcPr>
          <w:p>
            <w:r>
              <w:rPr>
                <w:rFonts w:ascii="Calibri" w:cs="Calibri" w:eastAsia="Calibri" w:hAnsi="Calibri"/>
                <w:color w:val="3A2E18"/>
                <w:sz w:val="19"/>
                <w:szCs w:val="19"/>
              </w:rPr>
              <w:t xml:space="preserve">[house]</w:t>
            </w:r>
          </w:p>
        </w:tc>
        <w:tc>
          <w:tcPr>
            <w:tcW w:type="dxa" w:w="1584"/>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1981"/>
            <w:tcMar>
              <w:top w:type="dxa" w:w="90"/>
              <w:left w:type="dxa" w:w="130"/>
              <w:bottom w:type="dxa" w:w="90"/>
              <w:right w:type="dxa" w:w="130"/>
            </w:tcMar>
            <w:vAlign w:val="center"/>
          </w:tcPr>
          <w:p>
            <w:r>
              <w:rPr>
                <w:rFonts w:ascii="Calibri" w:cs="Calibri" w:eastAsia="Calibri" w:hAnsi="Calibri"/>
                <w:color w:val="3A2E18"/>
                <w:sz w:val="19"/>
                <w:szCs w:val="19"/>
              </w:rPr>
              <w:t xml:space="preserve">[Severe/Moderate/Mild/N.A.]</w:t>
            </w:r>
          </w:p>
        </w:tc>
        <w:tc>
          <w:tcPr>
            <w:tcW w:type="dxa" w:w="3169"/>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bl>
    <w:p>
      <w:pPr>
        <w:spacing w:before="200"/>
      </w:pPr>
    </w:p>
    <w:p>
      <w:pPr>
        <w:spacing w:after="100" w:before="240"/>
      </w:pPr>
      <w:r>
        <w:rPr>
          <w:rFonts w:ascii="Georgia" w:cs="Georgia" w:eastAsia="Georgia" w:hAnsi="Georgia"/>
          <w:b/>
          <w:bCs/>
          <w:color w:val="3A2E18"/>
          <w:sz w:val="22"/>
          <w:szCs w:val="22"/>
        </w:rPr>
        <w:t xml:space="preserve">Aspect Check</w:t>
      </w:r>
    </w:p>
    <w:p>
      <w:pPr>
        <w:spacing w:after="140" w:line="300"/>
      </w:pPr>
      <w:r>
        <w:rPr>
          <w:rFonts w:ascii="Calibri" w:cs="Calibri" w:eastAsia="Calibri" w:hAnsi="Calibri"/>
          <w:i w:val="false"/>
          <w:iCs w:val="false"/>
          <w:color w:val="3A2E18"/>
          <w:sz w:val="21"/>
          <w:szCs w:val="21"/>
        </w:rPr>
        <w:t xml:space="preserve">Mars afflicts the 4th, 7th and 8th houses from wherever it is placed by special aspect — the dosha can therefore apply even when Mars does not occupy a dosha house directly.</w:t>
      </w:r>
    </w:p>
    <w:p>
      <w:pPr>
        <w:spacing w:after="140" w:line="300"/>
      </w:pPr>
      <w:r>
        <w:rPr>
          <w:rFonts w:ascii="Calibri" w:cs="Calibri" w:eastAsia="Calibri" w:hAnsi="Calibri"/>
          <w:i/>
          <w:iCs/>
          <w:color w:val="3A2E18"/>
          <w:sz w:val="21"/>
          <w:szCs w:val="21"/>
        </w:rPr>
        <w:t xml:space="preserve">[State here whether Mars aspects the 7th/8th/4th house from its actual placement, and from which reference point(s).]</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4. Cancellation (Bhanga) Analysis</w:t>
      </w:r>
    </w:p>
    <w:p>
      <w:pPr>
        <w:spacing w:after="140" w:line="300"/>
      </w:pPr>
      <w:r>
        <w:rPr>
          <w:rFonts w:ascii="Calibri" w:cs="Calibri" w:eastAsia="Calibri" w:hAnsi="Calibri"/>
          <w:i w:val="false"/>
          <w:iCs w:val="false"/>
          <w:color w:val="3A2E18"/>
          <w:sz w:val="21"/>
          <w:szCs w:val="21"/>
        </w:rPr>
        <w:t xml:space="preserve">Raw house placement is a first pass, not a verdict. Both the Brihat Parashara Hora Shastra and Jataka Parijata build cancellation conditions into the doctrine itself. Each is checked individually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54"/>
        <w:gridCol w:w="1485"/>
        <w:gridCol w:w="3665"/>
      </w:tblGrid>
      <w:tr>
        <w:trPr>
          <w:tblHeader/>
        </w:trPr>
        <w:tc>
          <w:tcPr>
            <w:tcW w:type="dxa" w:w="4754"/>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Classical Condition</w:t>
            </w:r>
          </w:p>
        </w:tc>
        <w:tc>
          <w:tcPr>
            <w:tcW w:type="dxa" w:w="1485"/>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Applicable?</w:t>
            </w:r>
          </w:p>
        </w:tc>
        <w:tc>
          <w:tcPr>
            <w:tcW w:type="dxa" w:w="3665"/>
            <w:shd w:fill="8C6A00"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Notes</w:t>
            </w:r>
          </w:p>
        </w:tc>
      </w:tr>
      <w:tr>
        <w:tc>
          <w:tcPr>
            <w:tcW w:type="dxa" w:w="4754"/>
            <w:tcMar>
              <w:top w:type="dxa" w:w="90"/>
              <w:left w:type="dxa" w:w="130"/>
              <w:bottom w:type="dxa" w:w="90"/>
              <w:right w:type="dxa" w:w="130"/>
            </w:tcMar>
            <w:vAlign w:val="center"/>
          </w:tcPr>
          <w:p>
            <w:r>
              <w:rPr>
                <w:rFonts w:ascii="Calibri" w:cs="Calibri" w:eastAsia="Calibri" w:hAnsi="Calibri"/>
                <w:color w:val="3A2E18"/>
                <w:sz w:val="19"/>
                <w:szCs w:val="19"/>
              </w:rPr>
              <w:t xml:space="preserve">Mars in own sign (Aries/Scorpio) or exaltation (Capricorn)</w:t>
            </w:r>
          </w:p>
        </w:tc>
        <w:tc>
          <w:tcPr>
            <w:tcW w:type="dxa" w:w="1485"/>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as Yogakaraka (Cancer or Leo ascendant)</w:t>
            </w:r>
          </w:p>
        </w:tc>
        <w:tc>
          <w:tcPr>
            <w:tcW w:type="dxa" w:w="148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tcMar>
              <w:top w:type="dxa" w:w="90"/>
              <w:left w:type="dxa" w:w="130"/>
              <w:bottom w:type="dxa" w:w="90"/>
              <w:right w:type="dxa" w:w="130"/>
            </w:tcMar>
            <w:vAlign w:val="center"/>
          </w:tcPr>
          <w:p>
            <w:r>
              <w:rPr>
                <w:rFonts w:ascii="Calibri" w:cs="Calibri" w:eastAsia="Calibri" w:hAnsi="Calibri"/>
                <w:color w:val="3A2E18"/>
                <w:sz w:val="19"/>
                <w:szCs w:val="19"/>
              </w:rPr>
              <w:t xml:space="preserve">Jupiter's aspect on Mars, or on the 7th house/lord</w:t>
            </w:r>
          </w:p>
        </w:tc>
        <w:tc>
          <w:tcPr>
            <w:tcW w:type="dxa" w:w="1485"/>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Mars conjunct Jupiter, Mercury, or a strong Moon</w:t>
            </w:r>
          </w:p>
        </w:tc>
        <w:tc>
          <w:tcPr>
            <w:tcW w:type="dxa" w:w="148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tcMar>
              <w:top w:type="dxa" w:w="90"/>
              <w:left w:type="dxa" w:w="130"/>
              <w:bottom w:type="dxa" w:w="90"/>
              <w:right w:type="dxa" w:w="130"/>
            </w:tcMar>
            <w:vAlign w:val="center"/>
          </w:tcPr>
          <w:p>
            <w:r>
              <w:rPr>
                <w:rFonts w:ascii="Calibri" w:cs="Calibri" w:eastAsia="Calibri" w:hAnsi="Calibri"/>
                <w:color w:val="3A2E18"/>
                <w:sz w:val="19"/>
                <w:szCs w:val="19"/>
              </w:rPr>
              <w:t xml:space="preserve">Mars retrograde or combust</w:t>
            </w:r>
          </w:p>
        </w:tc>
        <w:tc>
          <w:tcPr>
            <w:tcW w:type="dxa" w:w="1485"/>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Ascendant-specific exception (e.g. Aquarius Lagna)</w:t>
            </w:r>
          </w:p>
        </w:tc>
        <w:tc>
          <w:tcPr>
            <w:tcW w:type="dxa" w:w="148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tcMar>
              <w:top w:type="dxa" w:w="90"/>
              <w:left w:type="dxa" w:w="130"/>
              <w:bottom w:type="dxa" w:w="90"/>
              <w:right w:type="dxa" w:w="130"/>
            </w:tcMar>
            <w:vAlign w:val="center"/>
          </w:tcPr>
          <w:p>
            <w:r>
              <w:rPr>
                <w:rFonts w:ascii="Calibri" w:cs="Calibri" w:eastAsia="Calibri" w:hAnsi="Calibri"/>
                <w:color w:val="3A2E18"/>
                <w:sz w:val="19"/>
                <w:szCs w:val="19"/>
              </w:rPr>
              <w:t xml:space="preserve">Mutual cancellation (both partners equally afflicted)</w:t>
            </w:r>
          </w:p>
        </w:tc>
        <w:tc>
          <w:tcPr>
            <w:tcW w:type="dxa" w:w="1485"/>
            <w:tcMar>
              <w:top w:type="dxa" w:w="90"/>
              <w:left w:type="dxa" w:w="130"/>
              <w:bottom w:type="dxa" w:w="90"/>
              <w:right w:type="dxa" w:w="130"/>
            </w:tcMar>
            <w:vAlign w:val="center"/>
          </w:tcPr>
          <w:p>
            <w:r>
              <w:rPr>
                <w:rFonts w:ascii="Calibri" w:cs="Calibri" w:eastAsia="Calibri" w:hAnsi="Calibri"/>
                <w:color w:val="3A2E18"/>
                <w:sz w:val="19"/>
                <w:szCs w:val="19"/>
              </w:rPr>
              <w:t xml:space="preserve">[Yes/No/N.A.]</w:t>
            </w:r>
          </w:p>
        </w:tc>
        <w:tc>
          <w:tcPr>
            <w:tcW w:type="dxa" w:w="3665"/>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r>
        <w:tc>
          <w:tcPr>
            <w:tcW w:type="dxa" w:w="4754"/>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Navamsha (D9) cross-check consistent with Rashi finding</w:t>
            </w:r>
          </w:p>
        </w:tc>
        <w:tc>
          <w:tcPr>
            <w:tcW w:type="dxa" w:w="148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[Yes/No]</w:t>
            </w:r>
          </w:p>
        </w:tc>
        <w:tc>
          <w:tcPr>
            <w:tcW w:type="dxa" w:w="3665"/>
            <w:shd w:fill="FBF6E9" w:color="auto" w:val="clear"/>
            <w:tcMar>
              <w:top w:type="dxa" w:w="90"/>
              <w:left w:type="dxa" w:w="130"/>
              <w:bottom w:type="dxa" w:w="90"/>
              <w:right w:type="dxa" w:w="130"/>
            </w:tcMar>
            <w:vAlign w:val="center"/>
          </w:tcPr>
          <w:p>
            <w:r>
              <w:rPr>
                <w:rFonts w:ascii="Calibri" w:cs="Calibri" w:eastAsia="Calibri" w:hAnsi="Calibri"/>
                <w:color w:val="3A2E18"/>
                <w:sz w:val="19"/>
                <w:szCs w:val="19"/>
              </w:rPr>
              <w:t xml:space="preserve">[ ]</w:t>
            </w:r>
          </w:p>
        </w:tc>
      </w:tr>
    </w:tbl>
    <w:p>
      <w:pPr>
        <w:spacing w:before="200"/>
      </w:pPr>
    </w:p>
    <w:p>
      <w:pPr>
        <w:spacing w:after="100" w:before="240"/>
      </w:pPr>
      <w:r>
        <w:rPr>
          <w:rFonts w:ascii="Georgia" w:cs="Georgia" w:eastAsia="Georgia" w:hAnsi="Georgia"/>
          <w:b/>
          <w:bCs/>
          <w:color w:val="3A2E18"/>
          <w:sz w:val="22"/>
          <w:szCs w:val="22"/>
        </w:rPr>
        <w:t xml:space="preserve">Net Verdict</w:t>
      </w:r>
    </w:p>
    <w:p>
      <w:pPr>
        <w:spacing w:after="140" w:line="300"/>
      </w:pPr>
      <w:r>
        <w:rPr>
          <w:rFonts w:ascii="Calibri" w:cs="Calibri" w:eastAsia="Calibri" w:hAnsi="Calibri"/>
          <w:i/>
          <w:iCs/>
          <w:color w:val="3A2E18"/>
          <w:sz w:val="21"/>
          <w:szCs w:val="21"/>
        </w:rPr>
        <w:t xml:space="preserve">[State plainly whether, taken together, these conditions substantially mitigate the dosha, partially mitigate it, or leave it fully in effect — and why.]</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5. What This Means For You</w:t>
      </w:r>
    </w:p>
    <w:p>
      <w:pPr>
        <w:spacing w:after="100" w:before="240"/>
      </w:pPr>
      <w:r>
        <w:rPr>
          <w:rFonts w:ascii="Georgia" w:cs="Georgia" w:eastAsia="Georgia" w:hAnsi="Georgia"/>
          <w:b/>
          <w:bCs/>
          <w:color w:val="3A2E18"/>
          <w:sz w:val="22"/>
          <w:szCs w:val="22"/>
        </w:rPr>
        <w:t xml:space="preserve">Personality &amp; Temperament</w:t>
      </w:r>
    </w:p>
    <w:p>
      <w:pPr>
        <w:spacing w:after="140" w:line="300"/>
      </w:pPr>
      <w:r>
        <w:rPr>
          <w:rFonts w:ascii="Calibri" w:cs="Calibri" w:eastAsia="Calibri" w:hAnsi="Calibri"/>
          <w:i/>
          <w:iCs/>
          <w:color w:val="3A2E18"/>
          <w:sz w:val="21"/>
          <w:szCs w:val="21"/>
        </w:rPr>
        <w:t xml:space="preserve">[How this placement typically expresses in the native's own disposition — energy, temper, decisiveness, etc. Keep it balanced: strengths as well as friction points.]</w:t>
      </w:r>
    </w:p>
    <w:p>
      <w:pPr>
        <w:spacing w:after="100" w:before="240"/>
      </w:pPr>
      <w:r>
        <w:rPr>
          <w:rFonts w:ascii="Georgia" w:cs="Georgia" w:eastAsia="Georgia" w:hAnsi="Georgia"/>
          <w:b/>
          <w:bCs/>
          <w:color w:val="3A2E18"/>
          <w:sz w:val="22"/>
          <w:szCs w:val="22"/>
        </w:rPr>
        <w:t xml:space="preserve">Marital &amp; Relationship Life</w:t>
      </w:r>
    </w:p>
    <w:p>
      <w:pPr>
        <w:spacing w:after="140" w:line="300"/>
      </w:pPr>
      <w:r>
        <w:rPr>
          <w:rFonts w:ascii="Calibri" w:cs="Calibri" w:eastAsia="Calibri" w:hAnsi="Calibri"/>
          <w:i/>
          <w:iCs/>
          <w:color w:val="3A2E18"/>
          <w:sz w:val="21"/>
          <w:szCs w:val="21"/>
        </w:rPr>
        <w:t xml:space="preserve">[Practical implications for partnership dynamics, communication style under stress, and what to be mindful of — framed constructively.]</w:t>
      </w:r>
    </w:p>
    <w:p>
      <w:pPr>
        <w:spacing w:after="100" w:before="240"/>
      </w:pPr>
      <w:r>
        <w:rPr>
          <w:rFonts w:ascii="Georgia" w:cs="Georgia" w:eastAsia="Georgia" w:hAnsi="Georgia"/>
          <w:b/>
          <w:bCs/>
          <w:color w:val="3A2E18"/>
          <w:sz w:val="22"/>
          <w:szCs w:val="22"/>
        </w:rPr>
        <w:t xml:space="preserve">Spouse's Wellbeing</w:t>
      </w:r>
    </w:p>
    <w:p>
      <w:pPr>
        <w:spacing w:after="140" w:line="300"/>
      </w:pPr>
      <w:r>
        <w:rPr>
          <w:rFonts w:ascii="Calibri" w:cs="Calibri" w:eastAsia="Calibri" w:hAnsi="Calibri"/>
          <w:i/>
          <w:iCs/>
          <w:color w:val="3A2E18"/>
          <w:sz w:val="21"/>
          <w:szCs w:val="21"/>
        </w:rPr>
        <w:t xml:space="preserve">[Only include if genuinely indicated by the 7th/8th house analysis above; state clearly if this concern does not apply.]</w:t>
      </w:r>
    </w:p>
    <w:p>
      <w:pPr>
        <w:spacing w:after="100" w:before="240"/>
      </w:pPr>
      <w:r>
        <w:rPr>
          <w:rFonts w:ascii="Georgia" w:cs="Georgia" w:eastAsia="Georgia" w:hAnsi="Georgia"/>
          <w:b/>
          <w:bCs/>
          <w:color w:val="3A2E18"/>
          <w:sz w:val="22"/>
          <w:szCs w:val="22"/>
        </w:rPr>
        <w:t xml:space="preserve">Relevant Timing (Dasha/Antardasha Periods)</w:t>
      </w:r>
    </w:p>
    <w:p>
      <w:pPr>
        <w:spacing w:after="140" w:line="300"/>
      </w:pPr>
      <w:r>
        <w:rPr>
          <w:rFonts w:ascii="Calibri" w:cs="Calibri" w:eastAsia="Calibri" w:hAnsi="Calibri"/>
          <w:i/>
          <w:iCs/>
          <w:color w:val="3A2E18"/>
          <w:sz w:val="21"/>
          <w:szCs w:val="21"/>
        </w:rPr>
        <w:t xml:space="preserve">[Note the Mahadasha/Antardasha windows in which this factor is most likely to become active, and any windows where its effect is naturally quiet.]</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6. Remedies &amp; Guidance</w:t>
      </w:r>
    </w:p>
    <w:p>
      <w:pPr>
        <w:spacing w:after="100" w:before="240"/>
      </w:pPr>
      <w:r>
        <w:rPr>
          <w:rFonts w:ascii="Georgia" w:cs="Georgia" w:eastAsia="Georgia" w:hAnsi="Georgia"/>
          <w:b/>
          <w:bCs/>
          <w:color w:val="3A2E18"/>
          <w:sz w:val="22"/>
          <w:szCs w:val="22"/>
        </w:rPr>
        <w:t xml:space="preserve">Core Classical Remedies (Graha Shanti)</w:t>
      </w:r>
    </w:p>
    <w:p>
      <w:pPr>
        <w:spacing w:after="140" w:line="300"/>
      </w:pPr>
      <w:r>
        <w:rPr>
          <w:rFonts w:ascii="Calibri" w:cs="Calibri" w:eastAsia="Calibri" w:hAnsi="Calibri"/>
          <w:i w:val="false"/>
          <w:iCs w:val="false"/>
          <w:color w:val="3A2E18"/>
          <w:sz w:val="21"/>
          <w:szCs w:val="21"/>
        </w:rPr>
        <w:t xml:space="preserve">Rooted in the general classical principle of pacifying an afflicted planet through worship, mantra, and charity associated with its day and deity.</w:t>
      </w:r>
    </w:p>
    <w:p>
      <w:pPr>
        <w:pStyle w:val="ListParagraph"/>
        <w:numPr>
          <w:ilvl w:val="0"/>
          <w:numId w:val="2"/>
        </w:numPr>
        <w:spacing w:after="90" w:line="280"/>
      </w:pPr>
      <w:r>
        <w:rPr>
          <w:rFonts w:ascii="Calibri" w:cs="Calibri" w:eastAsia="Calibri" w:hAnsi="Calibri"/>
          <w:color w:val="3A2E18"/>
          <w:sz w:val="21"/>
          <w:szCs w:val="21"/>
        </w:rPr>
        <w:t xml:space="preserve">Worship and fasting on Tuesdays (Mangalvar), Mars's own day.</w:t>
      </w:r>
    </w:p>
    <w:p>
      <w:pPr>
        <w:pStyle w:val="ListParagraph"/>
        <w:numPr>
          <w:ilvl w:val="0"/>
          <w:numId w:val="2"/>
        </w:numPr>
        <w:spacing w:after="90" w:line="280"/>
      </w:pPr>
      <w:r>
        <w:rPr>
          <w:rFonts w:ascii="Calibri" w:cs="Calibri" w:eastAsia="Calibri" w:hAnsi="Calibri"/>
          <w:color w:val="3A2E18"/>
          <w:sz w:val="21"/>
          <w:szCs w:val="21"/>
        </w:rPr>
        <w:t xml:space="preserve">Recitation of the Kuja/Mangal mantra or Hanuman Chalisa, as appropriate to the native's practice.</w:t>
      </w:r>
    </w:p>
    <w:p>
      <w:pPr>
        <w:pStyle w:val="ListParagraph"/>
        <w:numPr>
          <w:ilvl w:val="0"/>
          <w:numId w:val="2"/>
        </w:numPr>
        <w:spacing w:after="90" w:line="280"/>
      </w:pPr>
      <w:r>
        <w:rPr>
          <w:rFonts w:ascii="Calibri" w:cs="Calibri" w:eastAsia="Calibri" w:hAnsi="Calibri"/>
          <w:color w:val="3A2E18"/>
          <w:sz w:val="21"/>
          <w:szCs w:val="21"/>
        </w:rPr>
        <w:t xml:space="preserve">Charity on Tuesdays — red lentils (masoor dal), jaggery, or copper — to those in need.</w:t>
      </w:r>
    </w:p>
    <w:p>
      <w:pPr>
        <w:pStyle w:val="ListParagraph"/>
        <w:numPr>
          <w:ilvl w:val="0"/>
          <w:numId w:val="2"/>
        </w:numPr>
        <w:spacing w:after="90" w:line="280"/>
      </w:pPr>
      <w:r>
        <w:rPr>
          <w:rFonts w:ascii="Calibri" w:cs="Calibri" w:eastAsia="Calibri" w:hAnsi="Calibri"/>
          <w:color w:val="3A2E18"/>
          <w:sz w:val="21"/>
          <w:szCs w:val="21"/>
        </w:rPr>
        <w:t xml:space="preserve">Mangal Shanti Puja, particularly where the dosha is severe and marriage is imminent.</w:t>
      </w:r>
    </w:p>
    <w:p>
      <w:pPr>
        <w:spacing w:after="100" w:before="240"/>
      </w:pPr>
      <w:r>
        <w:rPr>
          <w:rFonts w:ascii="Georgia" w:cs="Georgia" w:eastAsia="Georgia" w:hAnsi="Georgia"/>
          <w:b/>
          <w:bCs/>
          <w:color w:val="3A2E18"/>
          <w:sz w:val="22"/>
          <w:szCs w:val="22"/>
        </w:rPr>
        <w:t xml:space="preserve">Practical &amp; Popular Measures</w:t>
      </w:r>
    </w:p>
    <w:p>
      <w:pPr>
        <w:spacing w:after="140" w:line="300"/>
      </w:pPr>
      <w:r>
        <w:rPr>
          <w:rFonts w:ascii="Calibri" w:cs="Calibri" w:eastAsia="Calibri" w:hAnsi="Calibri"/>
          <w:i/>
          <w:iCs/>
          <w:color w:val="3A2E18"/>
          <w:sz w:val="21"/>
          <w:szCs w:val="21"/>
        </w:rPr>
        <w:t xml:space="preserve">Widely practised, but understood here as popular tradition rather than direct classical scripture — offered as options, not requirements.</w:t>
      </w:r>
    </w:p>
    <w:p>
      <w:pPr>
        <w:pStyle w:val="ListParagraph"/>
        <w:numPr>
          <w:ilvl w:val="0"/>
          <w:numId w:val="2"/>
        </w:numPr>
        <w:spacing w:after="90" w:line="280"/>
      </w:pPr>
      <w:r>
        <w:rPr>
          <w:rFonts w:ascii="Calibri" w:cs="Calibri" w:eastAsia="Calibri" w:hAnsi="Calibri"/>
          <w:color w:val="3A2E18"/>
          <w:sz w:val="21"/>
          <w:szCs w:val="21"/>
        </w:rPr>
        <w:t xml:space="preserve">Kumbh Vivah — a symbolic pre-marriage ceremony, considered only for severe, uncancelled placements.</w:t>
      </w:r>
    </w:p>
    <w:p>
      <w:pPr>
        <w:pStyle w:val="ListParagraph"/>
        <w:numPr>
          <w:ilvl w:val="0"/>
          <w:numId w:val="2"/>
        </w:numPr>
        <w:spacing w:after="90" w:line="280"/>
      </w:pPr>
      <w:r>
        <w:rPr>
          <w:rFonts w:ascii="Calibri" w:cs="Calibri" w:eastAsia="Calibri" w:hAnsi="Calibri"/>
          <w:color w:val="3A2E18"/>
          <w:sz w:val="21"/>
          <w:szCs w:val="21"/>
        </w:rPr>
        <w:t xml:space="preserve">Coral (Moonga) gemstone — only after suitability is properly tested; not a default recommendation.</w:t>
      </w:r>
    </w:p>
    <w:p>
      <w:pPr>
        <w:pStyle w:val="ListParagraph"/>
        <w:numPr>
          <w:ilvl w:val="0"/>
          <w:numId w:val="2"/>
        </w:numPr>
        <w:spacing w:after="90" w:line="280"/>
      </w:pPr>
      <w:r>
        <w:rPr>
          <w:rFonts w:ascii="Calibri" w:cs="Calibri" w:eastAsia="Calibri" w:hAnsi="Calibri"/>
          <w:color w:val="3A2E18"/>
          <w:sz w:val="21"/>
          <w:szCs w:val="21"/>
        </w:rPr>
        <w:t xml:space="preserve">Matching with a partner carrying a comparable Mangal Dosha, per the classical mutual-cancellation principle.</w:t>
      </w:r>
    </w:p>
    <w:p>
      <w:pPr>
        <w:spacing w:after="100" w:before="240"/>
      </w:pPr>
      <w:r>
        <w:rPr>
          <w:rFonts w:ascii="Georgia" w:cs="Georgia" w:eastAsia="Georgia" w:hAnsi="Georgia"/>
          <w:b/>
          <w:bCs/>
          <w:color w:val="3A2E18"/>
          <w:sz w:val="22"/>
          <w:szCs w:val="22"/>
        </w:rPr>
        <w:t xml:space="preserve">Practitioner's Recommendation</w:t>
      </w:r>
    </w:p>
    <w:p>
      <w:pPr>
        <w:spacing w:after="140" w:line="300"/>
      </w:pPr>
      <w:r>
        <w:rPr>
          <w:rFonts w:ascii="Calibri" w:cs="Calibri" w:eastAsia="Calibri" w:hAnsi="Calibri"/>
          <w:i/>
          <w:iCs/>
          <w:color w:val="3A2E18"/>
          <w:sz w:val="21"/>
          <w:szCs w:val="21"/>
        </w:rPr>
        <w:t xml:space="preserve">[Personalized synthesis: given everything above, what would you actually recommend this client do, in priority order?]</w:t>
      </w:r>
    </w:p>
    <w:p>
      <w:pPr>
        <w:pStyle w:val="Heading1"/>
        <w:pBdr>
          <w:bottom w:val="single" w:color="8C6A00" w:sz="8" w:space="4"/>
        </w:pBdr>
        <w:spacing w:after="160" w:before="420"/>
      </w:pPr>
      <w:r>
        <w:rPr>
          <w:rFonts w:ascii="Georgia" w:cs="Georgia" w:eastAsia="Georgia" w:hAnsi="Georgia"/>
          <w:b/>
          <w:bCs/>
          <w:caps/>
          <w:color w:val="8C6A00"/>
          <w:sz w:val="26"/>
          <w:szCs w:val="26"/>
        </w:rPr>
        <w:t xml:space="preserve">7. Astrologer's Notes</w:t>
      </w:r>
    </w:p>
    <w:p>
      <w:pPr>
        <w:tabs>
          <w:tab w:val="left" w:pos="2400"/>
        </w:tabs>
        <w:spacing w:after="160"/>
      </w:pPr>
      <w:r>
        <w:rPr>
          <w:rFonts w:ascii="Calibri" w:cs="Calibri" w:eastAsia="Calibri" w:hAnsi="Calibri"/>
          <w:b/>
          <w:bCs/>
          <w:color w:val="3A2E18"/>
          <w:sz w:val="21"/>
          <w:szCs w:val="21"/>
        </w:rPr>
        <w:t xml:space="preserve">Notes:</w:t>
      </w:r>
      <w:r>
        <w:t xml:space="preserve">	</w:t>
      </w:r>
      <w:r>
        <w:rPr>
          <w:rFonts w:ascii="Calibri" w:cs="Calibri" w:eastAsia="Calibri" w:hAnsi="Calibri"/>
          <w:i/>
          <w:iCs/>
          <w:color w:val="7A6540"/>
          <w:sz w:val="21"/>
          <w:szCs w:val="21"/>
        </w:rPr>
        <w:t xml:space="preserve"/>
      </w:r>
    </w:p>
    <w:p>
      <w:pPr>
        <w:pBdr>
          <w:bottom w:val="single" w:color="D9C384" w:sz="4" w:space="1"/>
        </w:pBdr>
        <w:spacing w:after="260"/>
      </w:pPr>
    </w:p>
    <w:p>
      <w:pPr>
        <w:pBdr>
          <w:bottom w:val="single" w:color="D9C384" w:sz="4" w:space="1"/>
        </w:pBdr>
        <w:spacing w:after="260"/>
      </w:pPr>
    </w:p>
    <w:p>
      <w:pPr>
        <w:pBdr>
          <w:bottom w:val="single" w:color="D9C384" w:sz="4" w:space="1"/>
        </w:pBdr>
        <w:spacing w:after="260"/>
      </w:pPr>
    </w:p>
    <w:p>
      <w:pPr>
        <w:pBdr>
          <w:bottom w:val="single" w:color="D9C384" w:sz="4" w:space="1"/>
        </w:pBdr>
        <w:spacing w:after="260"/>
      </w:pPr>
    </w:p>
    <w:p>
      <w:pPr>
        <w:pStyle w:val="Heading1"/>
        <w:pBdr>
          <w:bottom w:val="single" w:color="8C6A00" w:sz="8" w:space="4"/>
        </w:pBdr>
        <w:spacing w:after="160" w:before="420"/>
      </w:pPr>
      <w:r>
        <w:rPr>
          <w:rFonts w:ascii="Georgia" w:cs="Georgia" w:eastAsia="Georgia" w:hAnsi="Georgia"/>
          <w:b/>
          <w:bCs/>
          <w:caps/>
          <w:color w:val="8C6A00"/>
          <w:sz w:val="26"/>
          <w:szCs w:val="26"/>
        </w:rPr>
        <w:t xml:space="preserve">Disclaimer</w:t>
      </w:r>
    </w:p>
    <w:p>
      <w:pPr>
        <w:spacing w:after="140" w:line="300"/>
      </w:pPr>
      <w:r>
        <w:rPr>
          <w:rFonts w:ascii="Calibri" w:cs="Calibri" w:eastAsia="Calibri" w:hAnsi="Calibri"/>
          <w:i/>
          <w:iCs/>
          <w:color w:val="3A2E18"/>
          <w:sz w:val="21"/>
          <w:szCs w:val="21"/>
        </w:rPr>
        <w:t xml:space="preserve">This report is prepared for general guidance based on classical Vedic astrological principles and the birth details supplied by the client. Its accuracy depends on the correctness of the birth time, date and place provided. Astrological guidance is advisory in nature and is not a substitute for professional medical, legal, financial, or psychological advice. Vinayak Hora and the preparing astrologer accept no liability for decisions made solely on the basis of this report.</w:t>
      </w:r>
    </w:p>
    <w:p>
      <w:pPr>
        <w:spacing w:before="3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953"/>
        <w:gridCol w:w="2000"/>
        <w:gridCol w:w="2953"/>
      </w:tblGrid>
      <w:tr>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Prepared By</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Ram Mohan Kapil</w:t>
            </w:r>
          </w:p>
        </w:tc>
        <w:tc>
          <w:tcPr>
            <w:tcW w:type="dxa" w:w="2000"/>
            <w:shd w:fill="F1E4C0" w:color="auto" w:val="clear"/>
            <w:tcMar>
              <w:top w:type="dxa" w:w="90"/>
              <w:left w:type="dxa" w:w="130"/>
              <w:bottom w:type="dxa" w:w="90"/>
              <w:right w:type="dxa" w:w="130"/>
            </w:tcMar>
            <w:vAlign w:val="center"/>
          </w:tcPr>
          <w:p>
            <w:r>
              <w:rPr>
                <w:rFonts w:ascii="Calibri" w:cs="Calibri" w:eastAsia="Calibri" w:hAnsi="Calibri"/>
                <w:b/>
                <w:bCs/>
                <w:color w:val="3A2E18"/>
                <w:sz w:val="20"/>
                <w:szCs w:val="20"/>
              </w:rPr>
              <w:t xml:space="preserve">Date</w:t>
            </w:r>
          </w:p>
        </w:tc>
        <w:tc>
          <w:tcPr>
            <w:tcW w:type="dxa" w:w="2953"/>
            <w:tcMar>
              <w:top w:type="dxa" w:w="90"/>
              <w:left w:type="dxa" w:w="130"/>
              <w:bottom w:type="dxa" w:w="90"/>
              <w:right w:type="dxa" w:w="130"/>
            </w:tcMar>
            <w:vAlign w:val="center"/>
          </w:tcPr>
          <w:p>
            <w:r>
              <w:rPr>
                <w:rFonts w:ascii="Calibri" w:cs="Calibri" w:eastAsia="Calibri" w:hAnsi="Calibri"/>
                <w:i/>
                <w:iCs/>
                <w:color w:val="7A6540"/>
                <w:sz w:val="21"/>
                <w:szCs w:val="21"/>
              </w:rPr>
              <w:t xml:space="preserve">[DD Month YYYY]</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384" w:sz="6" w:space="6"/>
      </w:pBdr>
      <w:jc w:val="center"/>
    </w:pPr>
    <w:r>
      <w:rPr>
        <w:rFonts w:ascii="Calibri" w:cs="Calibri" w:eastAsia="Calibri" w:hAnsi="Calibri"/>
        <w:color w:val="7A6540"/>
        <w:sz w:val="15"/>
        <w:szCs w:val="15"/>
      </w:rPr>
      <w:t xml:space="preserve">Vinayak Hora   ·   www.vinayakhora.in   ·   vinayakhora@gmail.com   ·   Page </w:t>
    </w:r>
    <w:r>
      <w:rPr>
        <w:rFonts w:ascii="Calibri" w:cs="Calibri" w:eastAsia="Calibri" w:hAnsi="Calibri"/>
        <w:color w:val="7A6540"/>
        <w:sz w:val="15"/>
        <w:szCs w:val="15"/>
      </w:rPr>
      <w:fldChar w:fldCharType="begin"/>
      <w:instrText xml:space="preserve">PAGE</w:instrText>
      <w:fldChar w:fldCharType="separate"/>
      <w:fldChar w:fldCharType="end"/>
    </w:r>
    <w:r>
      <w:rPr>
        <w:rFonts w:ascii="Calibri" w:cs="Calibri" w:eastAsia="Calibri" w:hAnsi="Calibri"/>
        <w:color w:val="7A6540"/>
        <w:sz w:val="15"/>
        <w:szCs w:val="15"/>
      </w:rPr>
      <w:t xml:space="preserve"> of </w:t>
    </w:r>
    <w:r>
      <w:rPr>
        <w:rFonts w:ascii="Calibri" w:cs="Calibri" w:eastAsia="Calibri" w:hAnsi="Calibri"/>
        <w:color w:val="7A654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727c469d99a43e29476b3fe48aa33fb26875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2026-08-05T13:08:56.116Z</dcterms:created>
  <dcterms:modified xsi:type="dcterms:W3CDTF">2026-08-05T13:08:56.116Z</dcterms:modified>
</cp:coreProperties>
</file>

<file path=docProps/custom.xml><?xml version="1.0" encoding="utf-8"?>
<Properties xmlns="http://schemas.openxmlformats.org/officeDocument/2006/custom-properties" xmlns:vt="http://schemas.openxmlformats.org/officeDocument/2006/docPropsVTypes"/>
</file>