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24" w:rsidRDefault="00806996">
      <w:pPr>
        <w:rPr>
          <w:rFonts w:ascii="Open Sans" w:hAnsi="Open Sans"/>
          <w:color w:val="61605F"/>
          <w:sz w:val="23"/>
          <w:szCs w:val="23"/>
          <w:shd w:val="clear" w:color="auto" w:fill="FFFFFF"/>
        </w:rPr>
      </w:pPr>
      <w:r>
        <w:rPr>
          <w:rFonts w:ascii="Open Sans" w:hAnsi="Open Sans"/>
          <w:color w:val="61605F"/>
          <w:sz w:val="23"/>
          <w:szCs w:val="23"/>
          <w:shd w:val="clear" w:color="auto" w:fill="FFFFFF"/>
        </w:rPr>
        <w:t>In a world where the lines between online, mobile and in-store shopping continue to blur, consumers have become accustomed to having a diverse array of purchasing choices at their disposal, whether at the register or with the click of a mouse or tap of a touch screen.</w:t>
      </w:r>
      <w:r w:rsidR="00FC2E24">
        <w:rPr>
          <w:rFonts w:ascii="Open Sans" w:hAnsi="Open Sans"/>
          <w:color w:val="61605F"/>
          <w:sz w:val="23"/>
          <w:szCs w:val="23"/>
          <w:shd w:val="clear" w:color="auto" w:fill="FFFFFF"/>
        </w:rPr>
        <w:t xml:space="preserve"> We are so equipped with chores that it becomes challenge to </w:t>
      </w:r>
      <w:r w:rsidR="00FC2E24" w:rsidRPr="00FC2E24">
        <w:rPr>
          <w:rFonts w:ascii="Open Sans" w:hAnsi="Open Sans"/>
          <w:color w:val="61605F"/>
          <w:sz w:val="23"/>
          <w:szCs w:val="23"/>
          <w:shd w:val="clear" w:color="auto" w:fill="FFFFFF"/>
        </w:rPr>
        <w:t>possibly come up with the many hours per week it takes to plan, shop for, and execute meals that are actually good for you? In recent years, meal-subscription services have been offered up as a new solution for this outwardly unimpressive problem.</w:t>
      </w:r>
      <w:r w:rsidR="00FC2E24">
        <w:rPr>
          <w:rFonts w:ascii="Open Sans" w:hAnsi="Open Sans"/>
          <w:color w:val="61605F"/>
          <w:sz w:val="23"/>
          <w:szCs w:val="23"/>
          <w:shd w:val="clear" w:color="auto" w:fill="FFFFFF"/>
        </w:rPr>
        <w:t xml:space="preserve"> </w:t>
      </w:r>
      <w:r>
        <w:rPr>
          <w:rFonts w:ascii="Open Sans" w:hAnsi="Open Sans"/>
          <w:color w:val="61605F"/>
          <w:sz w:val="23"/>
          <w:szCs w:val="23"/>
          <w:shd w:val="clear" w:color="auto" w:fill="FFFFFF"/>
        </w:rPr>
        <w:t xml:space="preserve">How is the evolution of </w:t>
      </w:r>
      <w:r w:rsidR="00FC2E24">
        <w:rPr>
          <w:rFonts w:ascii="Open Sans" w:hAnsi="Open Sans"/>
          <w:color w:val="61605F"/>
          <w:sz w:val="23"/>
          <w:szCs w:val="23"/>
          <w:shd w:val="clear" w:color="auto" w:fill="FFFFFF"/>
        </w:rPr>
        <w:t>these meal kit</w:t>
      </w:r>
      <w:r>
        <w:rPr>
          <w:rFonts w:ascii="Open Sans" w:hAnsi="Open Sans"/>
          <w:color w:val="61605F"/>
          <w:sz w:val="23"/>
          <w:szCs w:val="23"/>
          <w:shd w:val="clear" w:color="auto" w:fill="FFFFFF"/>
        </w:rPr>
        <w:t xml:space="preserve"> impacting grocery shopping today? How will it impact the grocery store of the future?</w:t>
      </w:r>
      <w:r w:rsidR="00FC2E24">
        <w:rPr>
          <w:rFonts w:ascii="Open Sans" w:hAnsi="Open Sans"/>
          <w:color w:val="61605F"/>
          <w:sz w:val="23"/>
          <w:szCs w:val="23"/>
          <w:shd w:val="clear" w:color="auto" w:fill="FFFFFF"/>
        </w:rPr>
        <w:t xml:space="preserve"> </w:t>
      </w:r>
      <w:r w:rsidR="002E5979">
        <w:rPr>
          <w:rFonts w:ascii="Open Sans" w:hAnsi="Open Sans"/>
          <w:color w:val="61605F"/>
          <w:sz w:val="23"/>
          <w:szCs w:val="23"/>
          <w:shd w:val="clear" w:color="auto" w:fill="FFFFFF"/>
        </w:rPr>
        <w:t>I</w:t>
      </w:r>
      <w:r w:rsidR="001B23BE">
        <w:rPr>
          <w:rFonts w:ascii="Open Sans" w:hAnsi="Open Sans"/>
          <w:color w:val="61605F"/>
          <w:sz w:val="23"/>
          <w:szCs w:val="23"/>
          <w:shd w:val="clear" w:color="auto" w:fill="FFFFFF"/>
        </w:rPr>
        <w:t xml:space="preserve"> tried</w:t>
      </w:r>
      <w:r w:rsidR="00FC2E24">
        <w:rPr>
          <w:rFonts w:ascii="Open Sans" w:hAnsi="Open Sans"/>
          <w:color w:val="61605F"/>
          <w:sz w:val="23"/>
          <w:szCs w:val="23"/>
          <w:shd w:val="clear" w:color="auto" w:fill="FFFFFF"/>
        </w:rPr>
        <w:t xml:space="preserve"> to </w:t>
      </w:r>
      <w:r w:rsidR="001B23BE">
        <w:rPr>
          <w:rFonts w:ascii="Open Sans" w:hAnsi="Open Sans"/>
          <w:color w:val="61605F"/>
          <w:sz w:val="23"/>
          <w:szCs w:val="23"/>
          <w:shd w:val="clear" w:color="auto" w:fill="FFFFFF"/>
        </w:rPr>
        <w:t>understand</w:t>
      </w:r>
      <w:r w:rsidR="00FC2E24">
        <w:rPr>
          <w:rFonts w:ascii="Open Sans" w:hAnsi="Open Sans"/>
          <w:color w:val="61605F"/>
          <w:sz w:val="23"/>
          <w:szCs w:val="23"/>
          <w:shd w:val="clear" w:color="auto" w:fill="FFFFFF"/>
        </w:rPr>
        <w:t xml:space="preserve"> out which target segment are likely to buy the new fad in town. </w:t>
      </w:r>
    </w:p>
    <w:p w:rsidR="00D9404C" w:rsidRDefault="00FC2E24">
      <w:pPr>
        <w:rPr>
          <w:rFonts w:ascii="Open Sans" w:hAnsi="Open Sans"/>
          <w:color w:val="61605F"/>
          <w:sz w:val="23"/>
          <w:szCs w:val="23"/>
          <w:shd w:val="clear" w:color="auto" w:fill="FFFFFF"/>
        </w:rPr>
      </w:pPr>
      <w:r w:rsidRPr="00FC2E24">
        <w:rPr>
          <w:rFonts w:ascii="Open Sans" w:hAnsi="Open Sans"/>
          <w:color w:val="61605F"/>
          <w:sz w:val="23"/>
          <w:szCs w:val="23"/>
          <w:shd w:val="clear" w:color="auto" w:fill="FFFFFF"/>
        </w:rPr>
        <w:t>All of these services share common features: they send you every single ingredient (down to pinches of chili flakes and one-ounce bottles of wine) that you need to make a week’s worth of delicious, home-cooked, interesting meals. Most of them pride themselves on selecting produce that’s some combination of ethically sourced, organic, GMO-free, and seasonal.</w:t>
      </w:r>
      <w:r>
        <w:rPr>
          <w:rFonts w:ascii="Open Sans" w:hAnsi="Open Sans"/>
          <w:color w:val="61605F"/>
          <w:sz w:val="23"/>
          <w:szCs w:val="23"/>
          <w:shd w:val="clear" w:color="auto" w:fill="FFFFFF"/>
        </w:rPr>
        <w:t xml:space="preserve"> We ran an analysis to figure out the buying trend for different household segments which can result in positive sales for food kit and which stick to conventional grocery shopping.</w:t>
      </w:r>
      <w:r w:rsidR="00A31B4E">
        <w:rPr>
          <w:rFonts w:ascii="Open Sans" w:hAnsi="Open Sans"/>
          <w:color w:val="61605F"/>
          <w:sz w:val="23"/>
          <w:szCs w:val="23"/>
          <w:shd w:val="clear" w:color="auto" w:fill="FFFFFF"/>
        </w:rPr>
        <w:t xml:space="preserve"> We extracted data from ‘Experian’ using Alteryx and limited our research to ‘14 </w:t>
      </w:r>
      <w:r w:rsidR="002E5979">
        <w:rPr>
          <w:rFonts w:ascii="Open Sans" w:hAnsi="Open Sans"/>
          <w:color w:val="61605F"/>
          <w:sz w:val="23"/>
          <w:szCs w:val="23"/>
          <w:shd w:val="clear" w:color="auto" w:fill="FFFFFF"/>
        </w:rPr>
        <w:t>‘household</w:t>
      </w:r>
      <w:r w:rsidR="00A31B4E">
        <w:rPr>
          <w:rFonts w:ascii="Open Sans" w:hAnsi="Open Sans"/>
          <w:color w:val="61605F"/>
          <w:sz w:val="23"/>
          <w:szCs w:val="23"/>
          <w:shd w:val="clear" w:color="auto" w:fill="FFFFFF"/>
        </w:rPr>
        <w:t xml:space="preserve"> segments for our analysis which represented</w:t>
      </w:r>
      <w:r w:rsidR="00373492">
        <w:rPr>
          <w:rFonts w:ascii="Open Sans" w:hAnsi="Open Sans"/>
          <w:color w:val="61605F"/>
          <w:sz w:val="23"/>
          <w:szCs w:val="23"/>
          <w:shd w:val="clear" w:color="auto" w:fill="FFFFFF"/>
        </w:rPr>
        <w:t xml:space="preserve"> almost the population distribution. </w:t>
      </w:r>
      <w:r w:rsidR="00A31B4E">
        <w:rPr>
          <w:rFonts w:ascii="Open Sans" w:hAnsi="Open Sans"/>
          <w:color w:val="61605F"/>
          <w:sz w:val="23"/>
          <w:szCs w:val="23"/>
          <w:shd w:val="clear" w:color="auto" w:fill="FFFFFF"/>
        </w:rPr>
        <w:t xml:space="preserve"> </w:t>
      </w:r>
      <w:r w:rsidR="00416FFE">
        <w:rPr>
          <w:rFonts w:ascii="Open Sans" w:hAnsi="Open Sans"/>
          <w:color w:val="61605F"/>
          <w:sz w:val="23"/>
          <w:szCs w:val="23"/>
          <w:shd w:val="clear" w:color="auto" w:fill="FFFFFF"/>
        </w:rPr>
        <w:t>To understand the buying behavior, we chose Supermarket Demand as our target variable to understand who are contributing positively to supermarket grocery sale and vice-versa. A linear regression method after carefully selecting variables</w:t>
      </w:r>
      <w:r w:rsidR="003213B4">
        <w:rPr>
          <w:rFonts w:ascii="Open Sans" w:hAnsi="Open Sans"/>
          <w:color w:val="61605F"/>
          <w:sz w:val="23"/>
          <w:szCs w:val="23"/>
          <w:shd w:val="clear" w:color="auto" w:fill="FFFFFF"/>
        </w:rPr>
        <w:t xml:space="preserve"> using various statistical techniques</w:t>
      </w:r>
      <w:r w:rsidR="00C365DF">
        <w:rPr>
          <w:rFonts w:ascii="Open Sans" w:hAnsi="Open Sans"/>
          <w:color w:val="61605F"/>
          <w:sz w:val="23"/>
          <w:szCs w:val="23"/>
          <w:shd w:val="clear" w:color="auto" w:fill="FFFFFF"/>
        </w:rPr>
        <w:t xml:space="preserve"> helped us identify the segments which can be potential target market segment for food delivery kit. </w:t>
      </w:r>
    </w:p>
    <w:p w:rsidR="003213B4" w:rsidRDefault="003213B4" w:rsidP="003213B4">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We controlled for Median household income, Household count</w:t>
      </w:r>
      <w:r w:rsidR="009A1810">
        <w:rPr>
          <w:rFonts w:ascii="Open Sans" w:hAnsi="Open Sans"/>
          <w:color w:val="61605F"/>
          <w:sz w:val="23"/>
          <w:szCs w:val="23"/>
          <w:shd w:val="clear" w:color="auto" w:fill="FFFFFF"/>
        </w:rPr>
        <w:t>, Money spent on away food,</w:t>
      </w:r>
      <w:r>
        <w:rPr>
          <w:rFonts w:ascii="Open Sans" w:hAnsi="Open Sans"/>
          <w:color w:val="61605F"/>
          <w:sz w:val="23"/>
          <w:szCs w:val="23"/>
          <w:shd w:val="clear" w:color="auto" w:fill="FFFFFF"/>
        </w:rPr>
        <w:t xml:space="preserve"> and working population in our analysis so that it is constant for every household segments.</w:t>
      </w:r>
    </w:p>
    <w:p w:rsidR="003213B4" w:rsidRDefault="003213B4"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We divided our</w:t>
      </w:r>
      <w:r w:rsidR="00FE0018">
        <w:rPr>
          <w:rFonts w:ascii="Open Sans" w:hAnsi="Open Sans"/>
          <w:color w:val="61605F"/>
          <w:sz w:val="23"/>
          <w:szCs w:val="23"/>
          <w:shd w:val="clear" w:color="auto" w:fill="FFFFFF"/>
        </w:rPr>
        <w:t xml:space="preserve"> 14</w:t>
      </w:r>
      <w:r>
        <w:rPr>
          <w:rFonts w:ascii="Open Sans" w:hAnsi="Open Sans"/>
          <w:color w:val="61605F"/>
          <w:sz w:val="23"/>
          <w:szCs w:val="23"/>
          <w:shd w:val="clear" w:color="auto" w:fill="FFFFFF"/>
        </w:rPr>
        <w:t xml:space="preserve"> household segments</w:t>
      </w:r>
      <w:r w:rsidR="00FE0018">
        <w:rPr>
          <w:rFonts w:ascii="Open Sans" w:hAnsi="Open Sans"/>
          <w:color w:val="61605F"/>
          <w:sz w:val="23"/>
          <w:szCs w:val="23"/>
          <w:shd w:val="clear" w:color="auto" w:fill="FFFFFF"/>
        </w:rPr>
        <w:t xml:space="preserve"> into 8</w:t>
      </w:r>
      <w:r>
        <w:rPr>
          <w:rFonts w:ascii="Open Sans" w:hAnsi="Open Sans"/>
          <w:color w:val="61605F"/>
          <w:sz w:val="23"/>
          <w:szCs w:val="23"/>
          <w:shd w:val="clear" w:color="auto" w:fill="FFFFFF"/>
        </w:rPr>
        <w:t xml:space="preserve"> </w:t>
      </w:r>
      <w:r w:rsidR="00FE0018">
        <w:rPr>
          <w:rFonts w:ascii="Open Sans" w:hAnsi="Open Sans"/>
          <w:color w:val="61605F"/>
          <w:sz w:val="23"/>
          <w:szCs w:val="23"/>
          <w:shd w:val="clear" w:color="auto" w:fill="FFFFFF"/>
        </w:rPr>
        <w:t>distributions: Elite, Flourishing,</w:t>
      </w:r>
      <w:r>
        <w:rPr>
          <w:rFonts w:ascii="Open Sans" w:hAnsi="Open Sans"/>
          <w:color w:val="61605F"/>
          <w:sz w:val="23"/>
          <w:szCs w:val="23"/>
          <w:shd w:val="clear" w:color="auto" w:fill="FFFFFF"/>
        </w:rPr>
        <w:t xml:space="preserve"> </w:t>
      </w:r>
      <w:r w:rsidR="00FE0018" w:rsidRPr="00FE0018">
        <w:rPr>
          <w:rFonts w:ascii="Open Sans" w:hAnsi="Open Sans"/>
          <w:color w:val="61605F"/>
          <w:sz w:val="23"/>
          <w:szCs w:val="23"/>
          <w:shd w:val="clear" w:color="auto" w:fill="FFFFFF"/>
        </w:rPr>
        <w:t>Promising Families</w:t>
      </w:r>
      <w:r w:rsidR="00FE0018">
        <w:rPr>
          <w:rFonts w:ascii="Open Sans" w:hAnsi="Open Sans"/>
          <w:color w:val="61605F"/>
          <w:sz w:val="23"/>
          <w:szCs w:val="23"/>
          <w:shd w:val="clear" w:color="auto" w:fill="FFFFFF"/>
        </w:rPr>
        <w:t xml:space="preserve">, </w:t>
      </w:r>
      <w:r w:rsidR="00FE0018" w:rsidRPr="00FE0018">
        <w:rPr>
          <w:rFonts w:ascii="Open Sans" w:hAnsi="Open Sans"/>
          <w:color w:val="61605F"/>
          <w:sz w:val="23"/>
          <w:szCs w:val="23"/>
          <w:shd w:val="clear" w:color="auto" w:fill="FFFFFF"/>
        </w:rPr>
        <w:t>Young City Solos</w:t>
      </w:r>
      <w:r w:rsidR="00FE0018">
        <w:rPr>
          <w:rFonts w:ascii="Open Sans" w:hAnsi="Open Sans"/>
          <w:color w:val="61605F"/>
          <w:sz w:val="23"/>
          <w:szCs w:val="23"/>
          <w:shd w:val="clear" w:color="auto" w:fill="FFFFFF"/>
        </w:rPr>
        <w:t xml:space="preserve">, </w:t>
      </w:r>
      <w:r w:rsidR="00FE0018" w:rsidRPr="00FE0018">
        <w:rPr>
          <w:rFonts w:ascii="Open Sans" w:hAnsi="Open Sans"/>
          <w:color w:val="61605F"/>
          <w:sz w:val="23"/>
          <w:szCs w:val="23"/>
          <w:shd w:val="clear" w:color="auto" w:fill="FFFFFF"/>
        </w:rPr>
        <w:t>Singles and Starters</w:t>
      </w:r>
      <w:r w:rsidR="00FE0018">
        <w:rPr>
          <w:rFonts w:ascii="Open Sans" w:hAnsi="Open Sans"/>
          <w:color w:val="61605F"/>
          <w:sz w:val="23"/>
          <w:szCs w:val="23"/>
          <w:shd w:val="clear" w:color="auto" w:fill="FFFFFF"/>
        </w:rPr>
        <w:t xml:space="preserve">, and </w:t>
      </w:r>
      <w:r w:rsidR="00FE0018" w:rsidRPr="00FE0018">
        <w:rPr>
          <w:rFonts w:ascii="Open Sans" w:hAnsi="Open Sans"/>
          <w:color w:val="61605F"/>
          <w:sz w:val="23"/>
          <w:szCs w:val="23"/>
          <w:shd w:val="clear" w:color="auto" w:fill="FFFFFF"/>
        </w:rPr>
        <w:t>Significant Singles</w:t>
      </w:r>
    </w:p>
    <w:p w:rsidR="00FE0018" w:rsidRDefault="00FE0018"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Based on research, we identified characteristics of each segment like willingness to experiment, maximize dollar value, </w:t>
      </w:r>
      <w:r w:rsidR="009A1810">
        <w:rPr>
          <w:rFonts w:ascii="Open Sans" w:hAnsi="Open Sans"/>
          <w:color w:val="61605F"/>
          <w:sz w:val="23"/>
          <w:szCs w:val="23"/>
          <w:shd w:val="clear" w:color="auto" w:fill="FFFFFF"/>
        </w:rPr>
        <w:t>decision making</w:t>
      </w:r>
      <w:r w:rsidR="000D2737">
        <w:rPr>
          <w:rFonts w:ascii="Open Sans" w:hAnsi="Open Sans"/>
          <w:color w:val="61605F"/>
          <w:sz w:val="23"/>
          <w:szCs w:val="23"/>
          <w:shd w:val="clear" w:color="auto" w:fill="FFFFFF"/>
        </w:rPr>
        <w:t xml:space="preserve"> driven by family</w:t>
      </w:r>
      <w:r w:rsidR="009A1810">
        <w:rPr>
          <w:rFonts w:ascii="Open Sans" w:hAnsi="Open Sans"/>
          <w:color w:val="61605F"/>
          <w:sz w:val="23"/>
          <w:szCs w:val="23"/>
          <w:shd w:val="clear" w:color="auto" w:fill="FFFFFF"/>
        </w:rPr>
        <w:t>, online shopping preference.</w:t>
      </w:r>
    </w:p>
    <w:p w:rsidR="009A1810" w:rsidRDefault="009A1810"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These characteristics helped us distinguish each segment easily. </w:t>
      </w:r>
    </w:p>
    <w:p w:rsidR="009A1810" w:rsidRDefault="009A1810"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 Based on linear model we built to predict Super market grocery demand, there were few categories which were contributing positively and few negatively which meant those with negative contribution will have less tendency to for conventional grocery shopping.</w:t>
      </w:r>
    </w:p>
    <w:p w:rsidR="009A1810" w:rsidRDefault="009A1810"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Further analysis h</w:t>
      </w:r>
      <w:r w:rsidR="001B23BE">
        <w:rPr>
          <w:rFonts w:ascii="Open Sans" w:hAnsi="Open Sans"/>
          <w:color w:val="61605F"/>
          <w:sz w:val="23"/>
          <w:szCs w:val="23"/>
          <w:shd w:val="clear" w:color="auto" w:fill="FFFFFF"/>
        </w:rPr>
        <w:t xml:space="preserve">elped us to understand that there is definitive pattern in terms of characteristics listed in both negative segments and positive segments </w:t>
      </w:r>
    </w:p>
    <w:p w:rsidR="000D2737" w:rsidRDefault="000D2737"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Considering the cumulative effect of all the factors we could classify the household segments into going for traditional grocery shopping or trying out Restaurants or Delivery kit. services </w:t>
      </w:r>
    </w:p>
    <w:p w:rsidR="00F50CDD" w:rsidRDefault="000D2737"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There were few exceptions</w:t>
      </w:r>
      <w:r w:rsidR="00F50CDD">
        <w:rPr>
          <w:rFonts w:ascii="Open Sans" w:hAnsi="Open Sans"/>
          <w:color w:val="61605F"/>
          <w:sz w:val="23"/>
          <w:szCs w:val="23"/>
          <w:shd w:val="clear" w:color="auto" w:fill="FFFFFF"/>
        </w:rPr>
        <w:t xml:space="preserve"> like People Wired for success, shared the same characteristics as with household which contributed negatively.</w:t>
      </w:r>
    </w:p>
    <w:p w:rsidR="00F50CDD" w:rsidRDefault="00F50CDD"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 It provides great opportunity for Delivery Kit to focus on this category and tap on them without much effort. </w:t>
      </w:r>
    </w:p>
    <w:p w:rsidR="000D2737" w:rsidRDefault="00F50CDD" w:rsidP="00FE0018">
      <w:pPr>
        <w:pStyle w:val="ListParagraph"/>
        <w:numPr>
          <w:ilvl w:val="0"/>
          <w:numId w:val="1"/>
        </w:numPr>
        <w:rPr>
          <w:rFonts w:ascii="Open Sans" w:hAnsi="Open Sans"/>
          <w:color w:val="61605F"/>
          <w:sz w:val="23"/>
          <w:szCs w:val="23"/>
          <w:shd w:val="clear" w:color="auto" w:fill="FFFFFF"/>
        </w:rPr>
      </w:pPr>
      <w:r>
        <w:rPr>
          <w:rFonts w:ascii="Open Sans" w:hAnsi="Open Sans"/>
          <w:color w:val="61605F"/>
          <w:sz w:val="23"/>
          <w:szCs w:val="23"/>
          <w:shd w:val="clear" w:color="auto" w:fill="FFFFFF"/>
        </w:rPr>
        <w:t xml:space="preserve"> Family driven decision making turned out to be biggest factor in deciding to take risk and experiment. Household for which family is focal point stuck to traditional way of shopping and cooking at home. </w:t>
      </w:r>
    </w:p>
    <w:p w:rsidR="001B23BE" w:rsidRPr="001B23BE" w:rsidRDefault="001B23BE" w:rsidP="001B23BE">
      <w:pPr>
        <w:rPr>
          <w:rFonts w:ascii="Open Sans" w:hAnsi="Open Sans"/>
          <w:color w:val="61605F"/>
          <w:sz w:val="23"/>
          <w:szCs w:val="23"/>
          <w:shd w:val="clear" w:color="auto" w:fill="FFFFFF"/>
        </w:rPr>
      </w:pPr>
    </w:p>
    <w:tbl>
      <w:tblPr>
        <w:tblStyle w:val="TableGrid"/>
        <w:tblW w:w="10170" w:type="dxa"/>
        <w:tblInd w:w="-365" w:type="dxa"/>
        <w:tblLook w:val="04A0" w:firstRow="1" w:lastRow="0" w:firstColumn="1" w:lastColumn="0" w:noHBand="0" w:noVBand="1"/>
      </w:tblPr>
      <w:tblGrid>
        <w:gridCol w:w="3330"/>
        <w:gridCol w:w="1620"/>
        <w:gridCol w:w="1890"/>
        <w:gridCol w:w="1350"/>
        <w:gridCol w:w="1980"/>
      </w:tblGrid>
      <w:tr w:rsidR="000D2737" w:rsidRPr="001B23BE" w:rsidTr="000D2737">
        <w:tc>
          <w:tcPr>
            <w:tcW w:w="3330" w:type="dxa"/>
          </w:tcPr>
          <w:p w:rsidR="000D2737" w:rsidRPr="008B61A8" w:rsidRDefault="000D2737" w:rsidP="008B61A8">
            <w:pPr>
              <w:rPr>
                <w:rFonts w:ascii="Open Sans" w:hAnsi="Open Sans"/>
                <w:b/>
                <w:color w:val="61605F"/>
                <w:sz w:val="23"/>
                <w:szCs w:val="23"/>
                <w:shd w:val="clear" w:color="auto" w:fill="FFFFFF"/>
              </w:rPr>
            </w:pPr>
            <w:r w:rsidRPr="008B61A8">
              <w:rPr>
                <w:rFonts w:ascii="Open Sans" w:hAnsi="Open Sans"/>
                <w:b/>
                <w:color w:val="61605F"/>
                <w:sz w:val="23"/>
                <w:szCs w:val="23"/>
                <w:shd w:val="clear" w:color="auto" w:fill="FFFFFF"/>
              </w:rPr>
              <w:lastRenderedPageBreak/>
              <w:t>Mosaic Variable</w:t>
            </w:r>
          </w:p>
        </w:tc>
        <w:tc>
          <w:tcPr>
            <w:tcW w:w="1620" w:type="dxa"/>
          </w:tcPr>
          <w:p w:rsidR="000D2737" w:rsidRPr="008B61A8" w:rsidRDefault="000D2737" w:rsidP="008B61A8">
            <w:pPr>
              <w:rPr>
                <w:rFonts w:ascii="Open Sans" w:hAnsi="Open Sans"/>
                <w:b/>
                <w:color w:val="61605F"/>
                <w:sz w:val="23"/>
                <w:szCs w:val="23"/>
                <w:shd w:val="clear" w:color="auto" w:fill="FFFFFF"/>
              </w:rPr>
            </w:pPr>
            <w:r w:rsidRPr="008B61A8">
              <w:rPr>
                <w:rFonts w:ascii="Open Sans" w:hAnsi="Open Sans"/>
                <w:b/>
                <w:color w:val="61605F"/>
                <w:sz w:val="23"/>
                <w:szCs w:val="23"/>
                <w:shd w:val="clear" w:color="auto" w:fill="FFFFFF"/>
              </w:rPr>
              <w:t>Model contribution</w:t>
            </w:r>
          </w:p>
        </w:tc>
        <w:tc>
          <w:tcPr>
            <w:tcW w:w="1890" w:type="dxa"/>
            <w:vAlign w:val="bottom"/>
          </w:tcPr>
          <w:p w:rsidR="000D2737" w:rsidRDefault="000D2737" w:rsidP="008B61A8">
            <w:pPr>
              <w:rPr>
                <w:rFonts w:ascii="Calibri" w:hAnsi="Calibri"/>
                <w:b/>
                <w:bCs/>
                <w:color w:val="000000"/>
              </w:rPr>
            </w:pPr>
            <w:r w:rsidRPr="008B61A8">
              <w:rPr>
                <w:rFonts w:ascii="Open Sans" w:hAnsi="Open Sans"/>
                <w:b/>
                <w:color w:val="61605F"/>
                <w:sz w:val="23"/>
                <w:szCs w:val="23"/>
                <w:shd w:val="clear" w:color="auto" w:fill="FFFFFF"/>
              </w:rPr>
              <w:t>Willingness to experiment</w:t>
            </w:r>
          </w:p>
        </w:tc>
        <w:tc>
          <w:tcPr>
            <w:tcW w:w="1350" w:type="dxa"/>
            <w:vAlign w:val="bottom"/>
          </w:tcPr>
          <w:p w:rsidR="000D2737" w:rsidRDefault="000D2737" w:rsidP="008B61A8">
            <w:pPr>
              <w:rPr>
                <w:rFonts w:ascii="Calibri" w:hAnsi="Calibri"/>
                <w:b/>
                <w:bCs/>
                <w:color w:val="000000"/>
              </w:rPr>
            </w:pPr>
            <w:r w:rsidRPr="008B61A8">
              <w:rPr>
                <w:rFonts w:ascii="Open Sans" w:hAnsi="Open Sans"/>
                <w:b/>
                <w:color w:val="61605F"/>
                <w:sz w:val="23"/>
                <w:szCs w:val="23"/>
                <w:shd w:val="clear" w:color="auto" w:fill="FFFFFF"/>
              </w:rPr>
              <w:t>Maximize $ Value</w:t>
            </w:r>
          </w:p>
        </w:tc>
        <w:tc>
          <w:tcPr>
            <w:tcW w:w="1980" w:type="dxa"/>
          </w:tcPr>
          <w:p w:rsidR="000D2737" w:rsidRPr="008B61A8" w:rsidRDefault="000D2737" w:rsidP="000D2737">
            <w:pPr>
              <w:rPr>
                <w:rFonts w:ascii="Open Sans" w:hAnsi="Open Sans"/>
                <w:b/>
                <w:color w:val="61605F"/>
                <w:sz w:val="23"/>
                <w:szCs w:val="23"/>
                <w:shd w:val="clear" w:color="auto" w:fill="FFFFFF"/>
              </w:rPr>
            </w:pPr>
            <w:r>
              <w:rPr>
                <w:rFonts w:ascii="Open Sans" w:hAnsi="Open Sans"/>
                <w:b/>
                <w:color w:val="61605F"/>
                <w:sz w:val="23"/>
                <w:szCs w:val="23"/>
                <w:shd w:val="clear" w:color="auto" w:fill="FFFFFF"/>
              </w:rPr>
              <w:t>D</w:t>
            </w:r>
            <w:r w:rsidRPr="000D2737">
              <w:rPr>
                <w:rFonts w:ascii="Open Sans" w:hAnsi="Open Sans"/>
                <w:b/>
                <w:color w:val="61605F"/>
                <w:sz w:val="23"/>
                <w:szCs w:val="23"/>
                <w:shd w:val="clear" w:color="auto" w:fill="FFFFFF"/>
              </w:rPr>
              <w:t xml:space="preserve">ecision </w:t>
            </w:r>
            <w:r>
              <w:rPr>
                <w:rFonts w:ascii="Open Sans" w:hAnsi="Open Sans"/>
                <w:b/>
                <w:color w:val="61605F"/>
                <w:sz w:val="23"/>
                <w:szCs w:val="23"/>
                <w:shd w:val="clear" w:color="auto" w:fill="FFFFFF"/>
              </w:rPr>
              <w:t>Making Driven by F</w:t>
            </w:r>
            <w:r w:rsidRPr="000D2737">
              <w:rPr>
                <w:rFonts w:ascii="Open Sans" w:hAnsi="Open Sans"/>
                <w:b/>
                <w:color w:val="61605F"/>
                <w:sz w:val="23"/>
                <w:szCs w:val="23"/>
                <w:shd w:val="clear" w:color="auto" w:fill="FFFFFF"/>
              </w:rPr>
              <w:t>amily</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A03 Kids and Cabernet</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B10 Cosmopolitan Achievers</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F22 Fast Track Couples</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G25 Urban Edge</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O51 Digital Dependents</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0D2737">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O53 Colleges and Cafes</w:t>
            </w:r>
            <w:r>
              <w:rPr>
                <w:rFonts w:ascii="Open Sans" w:hAnsi="Open Sans"/>
                <w:color w:val="61605F"/>
                <w:sz w:val="23"/>
                <w:szCs w:val="23"/>
                <w:shd w:val="clear" w:color="auto" w:fill="FFFFFF"/>
              </w:rPr>
              <w:t xml:space="preserve"> Going</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O54 Striving Single Scene</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w:t>
            </w:r>
            <w:r w:rsidRPr="001B23BE">
              <w:rPr>
                <w:rFonts w:ascii="Open Sans" w:hAnsi="Open Sans"/>
                <w:color w:val="61605F"/>
                <w:sz w:val="23"/>
                <w:szCs w:val="23"/>
                <w:shd w:val="clear" w:color="auto" w:fill="FFFFFF"/>
              </w:rPr>
              <w:t>egative</w:t>
            </w:r>
          </w:p>
        </w:tc>
        <w:tc>
          <w:tcPr>
            <w:tcW w:w="189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vAlign w:val="bottom"/>
          </w:tcPr>
          <w:p w:rsidR="000D2737" w:rsidRPr="008B61A8"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980" w:type="dxa"/>
          </w:tcPr>
          <w:p w:rsidR="000D2737" w:rsidRPr="008B61A8"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A04 Picture Perfect Families</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P</w:t>
            </w:r>
            <w:r w:rsidRPr="001B23BE">
              <w:rPr>
                <w:rFonts w:ascii="Open Sans" w:hAnsi="Open Sans"/>
                <w:color w:val="61605F"/>
                <w:sz w:val="23"/>
                <w:szCs w:val="23"/>
                <w:shd w:val="clear" w:color="auto" w:fill="FFFFFF"/>
              </w:rPr>
              <w:t>ositive</w:t>
            </w:r>
          </w:p>
        </w:tc>
        <w:tc>
          <w:tcPr>
            <w:tcW w:w="1890" w:type="dxa"/>
            <w:vAlign w:val="bottom"/>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350" w:type="dxa"/>
            <w:shd w:val="clear" w:color="auto" w:fill="auto"/>
          </w:tcPr>
          <w:p w:rsidR="000D2737" w:rsidRPr="001B23BE"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980" w:type="dxa"/>
          </w:tcPr>
          <w:p w:rsidR="000D2737"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 xml:space="preserve">B07 Generational Soup  </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P</w:t>
            </w:r>
            <w:r w:rsidRPr="001B23BE">
              <w:rPr>
                <w:rFonts w:ascii="Open Sans" w:hAnsi="Open Sans"/>
                <w:color w:val="61605F"/>
                <w:sz w:val="23"/>
                <w:szCs w:val="23"/>
                <w:shd w:val="clear" w:color="auto" w:fill="FFFFFF"/>
              </w:rPr>
              <w:t>ositive</w:t>
            </w:r>
          </w:p>
        </w:tc>
        <w:tc>
          <w:tcPr>
            <w:tcW w:w="1890" w:type="dxa"/>
            <w:vAlign w:val="bottom"/>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350" w:type="dxa"/>
            <w:shd w:val="clear" w:color="auto" w:fill="auto"/>
          </w:tcPr>
          <w:p w:rsidR="000D2737" w:rsidRPr="001B23BE"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c>
          <w:tcPr>
            <w:tcW w:w="1980" w:type="dxa"/>
          </w:tcPr>
          <w:p w:rsidR="000D2737"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F23 Families Matter Most</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P</w:t>
            </w:r>
            <w:r w:rsidRPr="001B23BE">
              <w:rPr>
                <w:rFonts w:ascii="Open Sans" w:hAnsi="Open Sans"/>
                <w:color w:val="61605F"/>
                <w:sz w:val="23"/>
                <w:szCs w:val="23"/>
                <w:shd w:val="clear" w:color="auto" w:fill="FFFFFF"/>
              </w:rPr>
              <w:t>ositive</w:t>
            </w:r>
          </w:p>
        </w:tc>
        <w:tc>
          <w:tcPr>
            <w:tcW w:w="1890" w:type="dxa"/>
            <w:vAlign w:val="bottom"/>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350" w:type="dxa"/>
            <w:shd w:val="clear" w:color="auto" w:fill="auto"/>
          </w:tcPr>
          <w:p w:rsidR="000D2737" w:rsidRPr="001B23BE"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c>
          <w:tcPr>
            <w:tcW w:w="1980" w:type="dxa"/>
          </w:tcPr>
          <w:p w:rsidR="000D2737"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G24 Status Seeking Singles</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P</w:t>
            </w:r>
            <w:r w:rsidRPr="001B23BE">
              <w:rPr>
                <w:rFonts w:ascii="Open Sans" w:hAnsi="Open Sans"/>
                <w:color w:val="61605F"/>
                <w:sz w:val="23"/>
                <w:szCs w:val="23"/>
                <w:shd w:val="clear" w:color="auto" w:fill="FFFFFF"/>
              </w:rPr>
              <w:t>ositive</w:t>
            </w:r>
          </w:p>
        </w:tc>
        <w:tc>
          <w:tcPr>
            <w:tcW w:w="1890" w:type="dxa"/>
            <w:shd w:val="clear" w:color="auto" w:fill="auto"/>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350" w:type="dxa"/>
            <w:shd w:val="clear" w:color="auto" w:fill="auto"/>
          </w:tcPr>
          <w:p w:rsidR="000D2737" w:rsidRPr="001B23BE"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c>
          <w:tcPr>
            <w:tcW w:w="1980" w:type="dxa"/>
          </w:tcPr>
          <w:p w:rsidR="000D2737"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r>
      <w:tr w:rsidR="000D2737" w:rsidRPr="001B23BE" w:rsidTr="000D2737">
        <w:tc>
          <w:tcPr>
            <w:tcW w:w="3330" w:type="dxa"/>
          </w:tcPr>
          <w:p w:rsidR="000D2737" w:rsidRPr="001B23BE" w:rsidRDefault="000D2737" w:rsidP="008B61A8">
            <w:pPr>
              <w:rPr>
                <w:rFonts w:ascii="Open Sans" w:hAnsi="Open Sans"/>
                <w:color w:val="61605F"/>
                <w:sz w:val="23"/>
                <w:szCs w:val="23"/>
                <w:shd w:val="clear" w:color="auto" w:fill="FFFFFF"/>
              </w:rPr>
            </w:pPr>
            <w:r w:rsidRPr="001B23BE">
              <w:rPr>
                <w:rFonts w:ascii="Open Sans" w:hAnsi="Open Sans"/>
                <w:color w:val="61605F"/>
                <w:sz w:val="23"/>
                <w:szCs w:val="23"/>
                <w:shd w:val="clear" w:color="auto" w:fill="FFFFFF"/>
              </w:rPr>
              <w:t xml:space="preserve">K37 Wired for Success </w:t>
            </w:r>
          </w:p>
        </w:tc>
        <w:tc>
          <w:tcPr>
            <w:tcW w:w="1620" w:type="dxa"/>
          </w:tcPr>
          <w:p w:rsidR="000D2737" w:rsidRPr="001B23BE" w:rsidRDefault="000D2737" w:rsidP="008B61A8">
            <w:pPr>
              <w:rPr>
                <w:rFonts w:ascii="Open Sans" w:hAnsi="Open Sans"/>
                <w:color w:val="61605F"/>
                <w:sz w:val="23"/>
                <w:szCs w:val="23"/>
                <w:shd w:val="clear" w:color="auto" w:fill="FFFFFF"/>
              </w:rPr>
            </w:pPr>
            <w:r>
              <w:rPr>
                <w:rFonts w:ascii="Open Sans" w:hAnsi="Open Sans"/>
                <w:color w:val="61605F"/>
                <w:sz w:val="23"/>
                <w:szCs w:val="23"/>
                <w:shd w:val="clear" w:color="auto" w:fill="FFFFFF"/>
              </w:rPr>
              <w:t>P</w:t>
            </w:r>
            <w:r w:rsidRPr="001B23BE">
              <w:rPr>
                <w:rFonts w:ascii="Open Sans" w:hAnsi="Open Sans"/>
                <w:color w:val="61605F"/>
                <w:sz w:val="23"/>
                <w:szCs w:val="23"/>
                <w:shd w:val="clear" w:color="auto" w:fill="FFFFFF"/>
              </w:rPr>
              <w:t>ositive</w:t>
            </w:r>
          </w:p>
        </w:tc>
        <w:tc>
          <w:tcPr>
            <w:tcW w:w="1890" w:type="dxa"/>
            <w:shd w:val="clear" w:color="auto" w:fill="auto"/>
          </w:tcPr>
          <w:p w:rsidR="000D2737" w:rsidRPr="001B23BE" w:rsidRDefault="000D2737" w:rsidP="008B61A8">
            <w:pPr>
              <w:rPr>
                <w:rFonts w:ascii="Open Sans" w:hAnsi="Open Sans"/>
                <w:color w:val="61605F"/>
                <w:sz w:val="23"/>
                <w:szCs w:val="23"/>
                <w:shd w:val="clear" w:color="auto" w:fill="FFFFFF"/>
              </w:rPr>
            </w:pPr>
            <w:r w:rsidRPr="008B61A8">
              <w:rPr>
                <w:rFonts w:ascii="Open Sans" w:hAnsi="Open Sans"/>
                <w:color w:val="61605F"/>
                <w:sz w:val="23"/>
                <w:szCs w:val="23"/>
                <w:shd w:val="clear" w:color="auto" w:fill="FFFFFF"/>
              </w:rPr>
              <w:t>Yes</w:t>
            </w:r>
          </w:p>
        </w:tc>
        <w:tc>
          <w:tcPr>
            <w:tcW w:w="1350" w:type="dxa"/>
            <w:shd w:val="clear" w:color="auto" w:fill="auto"/>
          </w:tcPr>
          <w:p w:rsidR="000D2737" w:rsidRPr="001B23BE"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Yes</w:t>
            </w:r>
          </w:p>
        </w:tc>
        <w:tc>
          <w:tcPr>
            <w:tcW w:w="1980" w:type="dxa"/>
          </w:tcPr>
          <w:p w:rsidR="000D2737" w:rsidRDefault="000D2737">
            <w:pPr>
              <w:rPr>
                <w:rFonts w:ascii="Open Sans" w:hAnsi="Open Sans"/>
                <w:color w:val="61605F"/>
                <w:sz w:val="23"/>
                <w:szCs w:val="23"/>
                <w:shd w:val="clear" w:color="auto" w:fill="FFFFFF"/>
              </w:rPr>
            </w:pPr>
            <w:r>
              <w:rPr>
                <w:rFonts w:ascii="Open Sans" w:hAnsi="Open Sans"/>
                <w:color w:val="61605F"/>
                <w:sz w:val="23"/>
                <w:szCs w:val="23"/>
                <w:shd w:val="clear" w:color="auto" w:fill="FFFFFF"/>
              </w:rPr>
              <w:t>No</w:t>
            </w:r>
          </w:p>
        </w:tc>
      </w:tr>
    </w:tbl>
    <w:p w:rsidR="003213B4" w:rsidRDefault="003213B4">
      <w:bookmarkStart w:id="0" w:name="_GoBack"/>
      <w:bookmarkEnd w:id="0"/>
    </w:p>
    <w:sectPr w:rsidR="0032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222A"/>
    <w:multiLevelType w:val="hybridMultilevel"/>
    <w:tmpl w:val="B174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96"/>
    <w:rsid w:val="000D2737"/>
    <w:rsid w:val="001B23BE"/>
    <w:rsid w:val="002E5979"/>
    <w:rsid w:val="003213B4"/>
    <w:rsid w:val="00373492"/>
    <w:rsid w:val="00416FFE"/>
    <w:rsid w:val="00492BF5"/>
    <w:rsid w:val="00806996"/>
    <w:rsid w:val="008B61A8"/>
    <w:rsid w:val="009A1810"/>
    <w:rsid w:val="00A31B4E"/>
    <w:rsid w:val="00C365DF"/>
    <w:rsid w:val="00CB300D"/>
    <w:rsid w:val="00D9404C"/>
    <w:rsid w:val="00E66038"/>
    <w:rsid w:val="00F50CDD"/>
    <w:rsid w:val="00FC2E24"/>
    <w:rsid w:val="00FE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D454"/>
  <w15:chartTrackingRefBased/>
  <w15:docId w15:val="{E4E0CFB0-26B3-42B7-93E8-2E3E35C6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3B4"/>
    <w:pPr>
      <w:ind w:left="720"/>
      <w:contextualSpacing/>
    </w:pPr>
  </w:style>
  <w:style w:type="table" w:styleId="TableGrid">
    <w:name w:val="Table Grid"/>
    <w:basedOn w:val="TableNormal"/>
    <w:uiPriority w:val="39"/>
    <w:rsid w:val="001B2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77642">
      <w:bodyDiv w:val="1"/>
      <w:marLeft w:val="0"/>
      <w:marRight w:val="0"/>
      <w:marTop w:val="0"/>
      <w:marBottom w:val="0"/>
      <w:divBdr>
        <w:top w:val="none" w:sz="0" w:space="0" w:color="auto"/>
        <w:left w:val="none" w:sz="0" w:space="0" w:color="auto"/>
        <w:bottom w:val="none" w:sz="0" w:space="0" w:color="auto"/>
        <w:right w:val="none" w:sz="0" w:space="0" w:color="auto"/>
      </w:divBdr>
    </w:div>
    <w:div w:id="197914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Vinayak</dc:creator>
  <cp:keywords/>
  <dc:description/>
  <cp:lastModifiedBy>Vinayak Raja</cp:lastModifiedBy>
  <cp:revision>2</cp:revision>
  <dcterms:created xsi:type="dcterms:W3CDTF">2017-01-31T21:01:00Z</dcterms:created>
  <dcterms:modified xsi:type="dcterms:W3CDTF">2017-01-31T21:01:00Z</dcterms:modified>
</cp:coreProperties>
</file>