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Financial and Activity Record</w:t>
      </w:r>
    </w:p>
    <w:p>
      <w:r>
        <w:t>Evidence Number: TRI-TEST-002-EV-002</w:t>
      </w:r>
    </w:p>
    <w:p>
      <w:r>
        <w:t>Evidence Type: Financial Activity</w:t>
      </w:r>
    </w:p>
    <w:p/>
    <w:p>
      <w:r>
        <w:t>Case: TRI-TEST-002 — Meridian Consulting Review</w:t>
      </w:r>
    </w:p>
    <w:p/>
    <w:p>
      <w:r>
        <w:t>Meridian Advisory Group has a banking relationship with Summit Bank.</w:t>
      </w:r>
    </w:p>
    <w:p>
      <w:r>
        <w:t>Meera Nair communicated with Meridian Advisory Group personnel regarding a recorded consulting activity.</w:t>
      </w:r>
    </w:p>
    <w:p>
      <w:r>
        <w:t>Meera Nair transferred funds to Summit Bank in connection with the recorded business activity.</w:t>
      </w:r>
    </w:p>
    <w:p>
      <w:r>
        <w:t>This record is synthetic and intended for TRINETRA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